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78" w:rsidRPr="00087178" w:rsidRDefault="00087178" w:rsidP="00087178">
      <w:pPr>
        <w:pStyle w:val="a3"/>
        <w:shd w:val="clear" w:color="auto" w:fill="FFFFFF"/>
        <w:adjustRightInd w:val="0"/>
        <w:snapToGrid w:val="0"/>
        <w:spacing w:before="0" w:beforeAutospacing="0" w:after="0" w:afterAutospacing="0"/>
        <w:rPr>
          <w:rFonts w:ascii="黑体" w:eastAsia="黑体" w:hAnsi="黑体" w:hint="eastAsia"/>
          <w:bCs/>
          <w:snapToGrid w:val="0"/>
          <w:sz w:val="32"/>
          <w:szCs w:val="32"/>
        </w:rPr>
      </w:pPr>
      <w:r w:rsidRPr="00087178">
        <w:rPr>
          <w:rFonts w:ascii="黑体" w:eastAsia="黑体" w:hAnsi="黑体" w:hint="eastAsia"/>
          <w:bCs/>
          <w:snapToGrid w:val="0"/>
          <w:sz w:val="32"/>
          <w:szCs w:val="32"/>
        </w:rPr>
        <w:t>附件1</w:t>
      </w:r>
    </w:p>
    <w:p w:rsidR="00087178" w:rsidRDefault="00087178" w:rsidP="00362A8C">
      <w:pPr>
        <w:pStyle w:val="a3"/>
        <w:shd w:val="clear" w:color="auto" w:fill="FFFFFF"/>
        <w:adjustRightInd w:val="0"/>
        <w:snapToGrid w:val="0"/>
        <w:spacing w:before="0" w:beforeAutospacing="0" w:after="0" w:afterAutospacing="0"/>
        <w:jc w:val="center"/>
        <w:rPr>
          <w:rFonts w:ascii="方正小标宋简体" w:eastAsia="方正小标宋简体" w:hint="eastAsia"/>
          <w:bCs/>
          <w:snapToGrid w:val="0"/>
          <w:sz w:val="44"/>
          <w:szCs w:val="44"/>
        </w:rPr>
      </w:pPr>
    </w:p>
    <w:p w:rsidR="00362A8C" w:rsidRPr="00362A8C" w:rsidRDefault="00362A8C" w:rsidP="00362A8C">
      <w:pPr>
        <w:pStyle w:val="a3"/>
        <w:shd w:val="clear" w:color="auto" w:fill="FFFFFF"/>
        <w:adjustRightInd w:val="0"/>
        <w:snapToGrid w:val="0"/>
        <w:spacing w:before="0" w:beforeAutospacing="0" w:after="0" w:afterAutospacing="0"/>
        <w:jc w:val="center"/>
        <w:rPr>
          <w:rFonts w:ascii="方正小标宋简体" w:eastAsia="方正小标宋简体" w:hAnsi="Helvetica" w:cs="Helvetica"/>
          <w:snapToGrid w:val="0"/>
          <w:sz w:val="44"/>
          <w:szCs w:val="44"/>
        </w:rPr>
      </w:pPr>
      <w:r w:rsidRPr="00362A8C">
        <w:rPr>
          <w:rFonts w:ascii="方正小标宋简体" w:eastAsia="方正小标宋简体" w:hint="eastAsia"/>
          <w:bCs/>
          <w:snapToGrid w:val="0"/>
          <w:sz w:val="44"/>
          <w:szCs w:val="44"/>
        </w:rPr>
        <w:t>河北省科学技术厅</w:t>
      </w:r>
    </w:p>
    <w:p w:rsidR="00362A8C" w:rsidRPr="00362A8C" w:rsidRDefault="00362A8C" w:rsidP="00362A8C">
      <w:pPr>
        <w:pStyle w:val="a3"/>
        <w:shd w:val="clear" w:color="auto" w:fill="FFFFFF"/>
        <w:adjustRightInd w:val="0"/>
        <w:snapToGrid w:val="0"/>
        <w:spacing w:before="0" w:beforeAutospacing="0" w:after="0" w:afterAutospacing="0"/>
        <w:jc w:val="center"/>
        <w:rPr>
          <w:rFonts w:ascii="方正小标宋简体" w:eastAsia="方正小标宋简体" w:hAnsi="Helvetica" w:cs="Helvetica"/>
          <w:snapToGrid w:val="0"/>
          <w:sz w:val="44"/>
          <w:szCs w:val="44"/>
        </w:rPr>
      </w:pPr>
      <w:r w:rsidRPr="00362A8C">
        <w:rPr>
          <w:rFonts w:ascii="方正小标宋简体" w:eastAsia="方正小标宋简体" w:hint="eastAsia"/>
          <w:bCs/>
          <w:snapToGrid w:val="0"/>
          <w:sz w:val="44"/>
          <w:szCs w:val="44"/>
        </w:rPr>
        <w:t>关于印发《河北省重点实验室建设与运行管理办法》的通知</w:t>
      </w:r>
    </w:p>
    <w:p w:rsidR="00362A8C" w:rsidRPr="00362A8C" w:rsidRDefault="00362A8C" w:rsidP="00362A8C">
      <w:pPr>
        <w:pStyle w:val="a3"/>
        <w:shd w:val="clear" w:color="auto" w:fill="FFFFFF"/>
        <w:spacing w:before="0" w:beforeAutospacing="0" w:after="0" w:afterAutospacing="0" w:line="480" w:lineRule="atLeast"/>
        <w:jc w:val="center"/>
        <w:rPr>
          <w:rFonts w:ascii="仿宋_GB2312" w:eastAsia="仿宋_GB2312" w:hAnsi="Helvetica" w:cs="Helvetica"/>
          <w:snapToGrid w:val="0"/>
          <w:sz w:val="32"/>
          <w:szCs w:val="32"/>
        </w:rPr>
      </w:pPr>
      <w:proofErr w:type="gramStart"/>
      <w:r w:rsidRPr="00362A8C">
        <w:rPr>
          <w:rFonts w:ascii="仿宋_GB2312" w:eastAsia="仿宋_GB2312" w:hAnsi="Helvetica" w:cs="Helvetica" w:hint="eastAsia"/>
          <w:snapToGrid w:val="0"/>
          <w:sz w:val="32"/>
          <w:szCs w:val="32"/>
        </w:rPr>
        <w:t>冀科平规</w:t>
      </w:r>
      <w:proofErr w:type="gramEnd"/>
      <w:r w:rsidRPr="00362A8C">
        <w:rPr>
          <w:rFonts w:ascii="仿宋_GB2312" w:eastAsia="仿宋_GB2312" w:hAnsi="Helvetica" w:cs="Helvetica" w:hint="eastAsia"/>
          <w:snapToGrid w:val="0"/>
          <w:sz w:val="32"/>
          <w:szCs w:val="32"/>
        </w:rPr>
        <w:t>〔2023〕3号</w:t>
      </w:r>
    </w:p>
    <w:p w:rsidR="00362A8C" w:rsidRPr="00362A8C" w:rsidRDefault="00362A8C" w:rsidP="00362A8C">
      <w:pPr>
        <w:pStyle w:val="a3"/>
        <w:shd w:val="clear" w:color="auto" w:fill="FFFFFF"/>
        <w:spacing w:before="0" w:beforeAutospacing="0" w:after="0" w:afterAutospacing="0" w:line="480" w:lineRule="atLeast"/>
        <w:jc w:val="both"/>
        <w:rPr>
          <w:rFonts w:ascii="仿宋_GB2312" w:eastAsia="仿宋_GB2312" w:hAnsi="Helvetica" w:cs="Helvetica"/>
          <w:snapToGrid w:val="0"/>
          <w:sz w:val="32"/>
          <w:szCs w:val="32"/>
        </w:rPr>
      </w:pPr>
    </w:p>
    <w:p w:rsidR="00362A8C" w:rsidRPr="00362A8C" w:rsidRDefault="00362A8C" w:rsidP="00362A8C">
      <w:pPr>
        <w:pStyle w:val="a3"/>
        <w:shd w:val="clear" w:color="auto" w:fill="FFFFFF"/>
        <w:spacing w:before="0" w:beforeAutospacing="0" w:after="0" w:afterAutospacing="0" w:line="480" w:lineRule="atLeast"/>
        <w:jc w:val="both"/>
        <w:rPr>
          <w:rFonts w:ascii="仿宋_GB2312" w:eastAsia="仿宋_GB2312" w:hAnsi="Helvetica" w:cs="Helvetica"/>
          <w:snapToGrid w:val="0"/>
          <w:sz w:val="32"/>
          <w:szCs w:val="32"/>
        </w:rPr>
      </w:pPr>
      <w:r w:rsidRPr="00362A8C">
        <w:rPr>
          <w:rFonts w:ascii="仿宋_GB2312" w:eastAsia="仿宋_GB2312" w:hAnsi="Helvetica" w:cs="Helvetica" w:hint="eastAsia"/>
          <w:snapToGrid w:val="0"/>
          <w:sz w:val="32"/>
          <w:szCs w:val="32"/>
        </w:rPr>
        <w:t>各市（含定州、辛集市）科技局，</w:t>
      </w:r>
      <w:proofErr w:type="gramStart"/>
      <w:r w:rsidRPr="00362A8C">
        <w:rPr>
          <w:rFonts w:ascii="仿宋_GB2312" w:eastAsia="仿宋_GB2312" w:hAnsi="Helvetica" w:cs="Helvetica" w:hint="eastAsia"/>
          <w:snapToGrid w:val="0"/>
          <w:sz w:val="32"/>
          <w:szCs w:val="32"/>
        </w:rPr>
        <w:t>雄安新区</w:t>
      </w:r>
      <w:proofErr w:type="gramEnd"/>
      <w:r w:rsidRPr="00362A8C">
        <w:rPr>
          <w:rFonts w:ascii="仿宋_GB2312" w:eastAsia="仿宋_GB2312" w:hAnsi="Helvetica" w:cs="Helvetica" w:hint="eastAsia"/>
          <w:snapToGrid w:val="0"/>
          <w:sz w:val="32"/>
          <w:szCs w:val="32"/>
        </w:rPr>
        <w:t>改革发展局，省有关部门，有关单位：</w:t>
      </w:r>
    </w:p>
    <w:p w:rsidR="00362A8C" w:rsidRPr="00362A8C" w:rsidRDefault="00362A8C" w:rsidP="00362A8C">
      <w:pPr>
        <w:pStyle w:val="a3"/>
        <w:shd w:val="clear" w:color="auto" w:fill="FFFFFF"/>
        <w:spacing w:before="0" w:beforeAutospacing="0" w:after="0" w:afterAutospacing="0" w:line="480" w:lineRule="atLeast"/>
        <w:ind w:firstLineChars="200" w:firstLine="640"/>
        <w:jc w:val="both"/>
        <w:rPr>
          <w:rFonts w:ascii="仿宋_GB2312" w:eastAsia="仿宋_GB2312" w:hAnsi="Helvetica" w:cs="Helvetica"/>
          <w:snapToGrid w:val="0"/>
          <w:sz w:val="32"/>
          <w:szCs w:val="32"/>
        </w:rPr>
      </w:pPr>
      <w:r w:rsidRPr="00362A8C">
        <w:rPr>
          <w:rFonts w:ascii="仿宋_GB2312" w:eastAsia="仿宋_GB2312" w:hAnsi="Helvetica" w:cs="Helvetica" w:hint="eastAsia"/>
          <w:snapToGrid w:val="0"/>
          <w:sz w:val="32"/>
          <w:szCs w:val="32"/>
        </w:rPr>
        <w:t>为进一步引导和规范河北省重点实验室建设发展，省科技厅对《河北省学科重点实验室建设与管理办法》《河北省企业重点实验室建设与运行管理办法》《河北省重点实验室绩效评估办法（试行）》进行整合修订，现将新修订的《河北省重点实验室建设与运行管理办法》印发给你们，请遵照执行。</w:t>
      </w:r>
    </w:p>
    <w:p w:rsidR="00362A8C" w:rsidRPr="00362A8C" w:rsidRDefault="00362A8C" w:rsidP="00362A8C">
      <w:pPr>
        <w:pStyle w:val="a3"/>
        <w:shd w:val="clear" w:color="auto" w:fill="FFFFFF"/>
        <w:spacing w:before="0" w:beforeAutospacing="0" w:after="0" w:afterAutospacing="0" w:line="480" w:lineRule="atLeast"/>
        <w:jc w:val="right"/>
        <w:rPr>
          <w:rFonts w:ascii="仿宋_GB2312" w:eastAsia="仿宋_GB2312" w:hAnsi="Helvetica" w:cs="Helvetica"/>
          <w:snapToGrid w:val="0"/>
          <w:sz w:val="32"/>
          <w:szCs w:val="32"/>
        </w:rPr>
      </w:pPr>
    </w:p>
    <w:p w:rsidR="00362A8C" w:rsidRPr="00362A8C" w:rsidRDefault="00362A8C" w:rsidP="00362A8C">
      <w:pPr>
        <w:pStyle w:val="a3"/>
        <w:shd w:val="clear" w:color="auto" w:fill="FFFFFF"/>
        <w:spacing w:before="0" w:beforeAutospacing="0" w:after="0" w:afterAutospacing="0" w:line="480" w:lineRule="atLeast"/>
        <w:jc w:val="right"/>
        <w:rPr>
          <w:rFonts w:ascii="仿宋_GB2312" w:eastAsia="仿宋_GB2312" w:hAnsi="Helvetica" w:cs="Helvetica"/>
          <w:snapToGrid w:val="0"/>
          <w:sz w:val="32"/>
          <w:szCs w:val="32"/>
        </w:rPr>
      </w:pPr>
    </w:p>
    <w:p w:rsidR="00362A8C" w:rsidRPr="00362A8C" w:rsidRDefault="00362A8C" w:rsidP="00362A8C">
      <w:pPr>
        <w:pStyle w:val="a3"/>
        <w:shd w:val="clear" w:color="auto" w:fill="FFFFFF"/>
        <w:spacing w:before="0" w:beforeAutospacing="0" w:after="0" w:afterAutospacing="0" w:line="480" w:lineRule="atLeast"/>
        <w:jc w:val="right"/>
        <w:rPr>
          <w:rFonts w:ascii="仿宋_GB2312" w:eastAsia="仿宋_GB2312" w:hAnsi="Helvetica" w:cs="Helvetica"/>
          <w:snapToGrid w:val="0"/>
          <w:sz w:val="32"/>
          <w:szCs w:val="32"/>
        </w:rPr>
      </w:pPr>
    </w:p>
    <w:p w:rsidR="00362A8C" w:rsidRPr="00362A8C" w:rsidRDefault="00362A8C" w:rsidP="00362A8C">
      <w:pPr>
        <w:pStyle w:val="a3"/>
        <w:shd w:val="clear" w:color="auto" w:fill="FFFFFF"/>
        <w:spacing w:before="0" w:beforeAutospacing="0" w:after="0" w:afterAutospacing="0" w:line="480" w:lineRule="atLeast"/>
        <w:jc w:val="right"/>
        <w:rPr>
          <w:rFonts w:ascii="仿宋_GB2312" w:eastAsia="仿宋_GB2312" w:hAnsi="Helvetica" w:cs="Helvetica"/>
          <w:snapToGrid w:val="0"/>
          <w:sz w:val="32"/>
          <w:szCs w:val="32"/>
        </w:rPr>
      </w:pPr>
      <w:r w:rsidRPr="00362A8C">
        <w:rPr>
          <w:rFonts w:ascii="仿宋_GB2312" w:eastAsia="仿宋_GB2312" w:hAnsi="Helvetica" w:cs="Helvetica" w:hint="eastAsia"/>
          <w:snapToGrid w:val="0"/>
          <w:sz w:val="32"/>
          <w:szCs w:val="32"/>
        </w:rPr>
        <w:t>河北省科学技术厅</w:t>
      </w:r>
    </w:p>
    <w:p w:rsidR="00362A8C" w:rsidRPr="00362A8C" w:rsidRDefault="00362A8C" w:rsidP="00362A8C">
      <w:pPr>
        <w:pStyle w:val="a3"/>
        <w:shd w:val="clear" w:color="auto" w:fill="FFFFFF"/>
        <w:spacing w:before="0" w:beforeAutospacing="0" w:after="0" w:afterAutospacing="0" w:line="480" w:lineRule="atLeast"/>
        <w:jc w:val="right"/>
        <w:rPr>
          <w:rFonts w:ascii="仿宋_GB2312" w:eastAsia="仿宋_GB2312" w:hAnsi="Helvetica" w:cs="Helvetica"/>
          <w:snapToGrid w:val="0"/>
          <w:sz w:val="32"/>
          <w:szCs w:val="32"/>
        </w:rPr>
      </w:pPr>
      <w:r w:rsidRPr="00362A8C">
        <w:rPr>
          <w:rFonts w:ascii="仿宋_GB2312" w:eastAsia="仿宋_GB2312" w:hAnsi="Helvetica" w:cs="Helvetica" w:hint="eastAsia"/>
          <w:snapToGrid w:val="0"/>
          <w:sz w:val="32"/>
          <w:szCs w:val="32"/>
        </w:rPr>
        <w:t>2023年1月3日</w:t>
      </w:r>
    </w:p>
    <w:p w:rsidR="00362A8C" w:rsidRPr="00362A8C" w:rsidRDefault="00362A8C" w:rsidP="00362A8C">
      <w:pPr>
        <w:widowControl/>
        <w:shd w:val="clear" w:color="auto" w:fill="FFFFFF"/>
        <w:adjustRightInd w:val="0"/>
        <w:snapToGrid w:val="0"/>
        <w:spacing w:line="570" w:lineRule="exact"/>
        <w:jc w:val="center"/>
        <w:rPr>
          <w:rFonts w:ascii="方正小标宋简体" w:eastAsia="方正小标宋简体" w:hAnsi="Helvetica" w:cs="Helvetica"/>
          <w:bCs/>
          <w:snapToGrid w:val="0"/>
          <w:kern w:val="0"/>
          <w:sz w:val="44"/>
          <w:szCs w:val="44"/>
        </w:rPr>
      </w:pPr>
    </w:p>
    <w:p w:rsidR="00362A8C" w:rsidRPr="00362A8C" w:rsidRDefault="00362A8C" w:rsidP="00362A8C">
      <w:pPr>
        <w:widowControl/>
        <w:shd w:val="clear" w:color="auto" w:fill="FFFFFF"/>
        <w:adjustRightInd w:val="0"/>
        <w:snapToGrid w:val="0"/>
        <w:spacing w:line="570" w:lineRule="exact"/>
        <w:jc w:val="center"/>
        <w:rPr>
          <w:rFonts w:ascii="方正小标宋简体" w:eastAsia="方正小标宋简体" w:hAnsi="Arial" w:cs="Arial"/>
          <w:snapToGrid w:val="0"/>
          <w:kern w:val="0"/>
          <w:sz w:val="44"/>
          <w:szCs w:val="44"/>
        </w:rPr>
      </w:pPr>
      <w:r w:rsidRPr="00362A8C">
        <w:rPr>
          <w:rFonts w:ascii="方正小标宋简体" w:eastAsia="方正小标宋简体" w:hAnsi="Helvetica" w:cs="Helvetica" w:hint="eastAsia"/>
          <w:bCs/>
          <w:snapToGrid w:val="0"/>
          <w:kern w:val="0"/>
          <w:sz w:val="44"/>
          <w:szCs w:val="44"/>
        </w:rPr>
        <w:lastRenderedPageBreak/>
        <w:t>河北省重点实验室建设与运行管理办法</w:t>
      </w:r>
      <w:r w:rsidRPr="00362A8C">
        <w:rPr>
          <w:rFonts w:ascii="方正小标宋简体" w:eastAsia="方正小标宋简体" w:hAnsi="Helvetica" w:cs="Helvetica" w:hint="eastAsia"/>
          <w:snapToGrid w:val="0"/>
          <w:kern w:val="0"/>
          <w:sz w:val="44"/>
          <w:szCs w:val="44"/>
        </w:rPr>
        <w:t> </w:t>
      </w:r>
    </w:p>
    <w:p w:rsidR="00362A8C" w:rsidRPr="00362A8C" w:rsidRDefault="00362A8C" w:rsidP="00362A8C">
      <w:pPr>
        <w:widowControl/>
        <w:adjustRightInd w:val="0"/>
        <w:snapToGrid w:val="0"/>
        <w:spacing w:line="570" w:lineRule="exact"/>
        <w:jc w:val="center"/>
        <w:rPr>
          <w:rFonts w:ascii="黑体" w:eastAsia="黑体" w:hAnsi="黑体" w:cs="Helvetica"/>
          <w:bCs/>
          <w:snapToGrid w:val="0"/>
          <w:kern w:val="0"/>
          <w:sz w:val="32"/>
          <w:szCs w:val="32"/>
        </w:rPr>
      </w:pPr>
    </w:p>
    <w:p w:rsidR="00362A8C" w:rsidRPr="00362A8C" w:rsidRDefault="00362A8C" w:rsidP="00362A8C">
      <w:pPr>
        <w:widowControl/>
        <w:adjustRightInd w:val="0"/>
        <w:snapToGrid w:val="0"/>
        <w:spacing w:line="570" w:lineRule="exact"/>
        <w:jc w:val="center"/>
        <w:rPr>
          <w:rFonts w:ascii="黑体" w:eastAsia="黑体" w:hAnsi="黑体" w:cs="Helvetica"/>
          <w:bCs/>
          <w:snapToGrid w:val="0"/>
          <w:kern w:val="0"/>
          <w:sz w:val="32"/>
          <w:szCs w:val="32"/>
        </w:rPr>
      </w:pPr>
      <w:r w:rsidRPr="00362A8C">
        <w:rPr>
          <w:rFonts w:ascii="黑体" w:eastAsia="黑体" w:hAnsi="黑体" w:cs="Helvetica" w:hint="eastAsia"/>
          <w:bCs/>
          <w:snapToGrid w:val="0"/>
          <w:kern w:val="0"/>
          <w:sz w:val="32"/>
          <w:szCs w:val="32"/>
        </w:rPr>
        <w:t>第一章</w:t>
      </w:r>
      <w:r w:rsidRPr="00362A8C">
        <w:rPr>
          <w:rFonts w:ascii="宋体" w:eastAsia="宋体" w:hAnsi="宋体" w:cs="宋体" w:hint="eastAsia"/>
          <w:bCs/>
          <w:snapToGrid w:val="0"/>
          <w:kern w:val="0"/>
          <w:sz w:val="32"/>
          <w:szCs w:val="32"/>
        </w:rPr>
        <w:t>  </w:t>
      </w:r>
      <w:r w:rsidRPr="00362A8C">
        <w:rPr>
          <w:rFonts w:ascii="黑体" w:eastAsia="黑体" w:hAnsi="黑体" w:cs="Helvetica" w:hint="eastAsia"/>
          <w:bCs/>
          <w:snapToGrid w:val="0"/>
          <w:kern w:val="0"/>
          <w:sz w:val="32"/>
          <w:szCs w:val="32"/>
        </w:rPr>
        <w:t xml:space="preserve">总 </w:t>
      </w:r>
      <w:r w:rsidRPr="00362A8C">
        <w:rPr>
          <w:rFonts w:ascii="宋体" w:eastAsia="宋体" w:hAnsi="宋体" w:cs="宋体" w:hint="eastAsia"/>
          <w:bCs/>
          <w:snapToGrid w:val="0"/>
          <w:kern w:val="0"/>
          <w:sz w:val="32"/>
          <w:szCs w:val="32"/>
        </w:rPr>
        <w:t> </w:t>
      </w:r>
      <w:r w:rsidRPr="00362A8C">
        <w:rPr>
          <w:rFonts w:ascii="黑体" w:eastAsia="黑体" w:hAnsi="黑体" w:cs="Helvetica" w:hint="eastAsia"/>
          <w:bCs/>
          <w:snapToGrid w:val="0"/>
          <w:kern w:val="0"/>
          <w:sz w:val="32"/>
          <w:szCs w:val="32"/>
        </w:rPr>
        <w:t>则</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第一条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为进一步引导和规范河北省重点实验室（以下简称“重点实验室”）建设发展，结合我省实际，制定本办法。</w:t>
      </w:r>
    </w:p>
    <w:p w:rsidR="0082693E"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第二条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重点实验室是我省科技创新体系的重要组成部分，分为学科重点实验室和企业重点实验室两类。</w:t>
      </w:r>
    </w:p>
    <w:p w:rsidR="0082693E" w:rsidRDefault="00362A8C" w:rsidP="0082693E">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学科重点实验室主要任务是：聚焦学科前沿和重大科学问题，组织开展高水平基础研究、应用基础研究、前沿技术研究和科技基础性工作，聚集和培养优秀科研人才团队，促进学术交流和开放合作，引领支撑科学发展、技术创新和科技进步。</w:t>
      </w:r>
    </w:p>
    <w:p w:rsidR="00362A8C" w:rsidRPr="00362A8C" w:rsidRDefault="00362A8C" w:rsidP="0082693E">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企业重点实验室主要任务是：聚焦行业前沿和产业未来发展需求，开展前瞻性应用基础研究和竞争前共性关键技术研究，研究制订国际、国家和行业标准，聚集和培养优秀科研人才团队，促进学术交流和开放合作，引领支撑行业技术进步，提升产业核心竞争力。</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第三条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重点实验室依托我省境内注册、具有独立法人资格的高校、科研院所、企业和新型研发机构等建设，鼓励联合省外优势高校、科研院所等共同建设。</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第四条</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重点实验室实行“统筹布局、择优支持、分类管理、有序进出”的建设与管理机制。</w:t>
      </w:r>
    </w:p>
    <w:p w:rsidR="00362A8C" w:rsidRPr="00362A8C" w:rsidRDefault="00362A8C" w:rsidP="00362A8C">
      <w:pPr>
        <w:widowControl/>
        <w:adjustRightInd w:val="0"/>
        <w:snapToGrid w:val="0"/>
        <w:spacing w:line="570" w:lineRule="exact"/>
        <w:jc w:val="center"/>
        <w:rPr>
          <w:rFonts w:ascii="黑体" w:eastAsia="黑体" w:hAnsi="黑体" w:cs="Helvetica"/>
          <w:bCs/>
          <w:snapToGrid w:val="0"/>
          <w:kern w:val="0"/>
          <w:sz w:val="32"/>
          <w:szCs w:val="32"/>
        </w:rPr>
      </w:pPr>
      <w:r w:rsidRPr="00362A8C">
        <w:rPr>
          <w:rFonts w:ascii="黑体" w:eastAsia="黑体" w:hAnsi="黑体" w:cs="Helvetica" w:hint="eastAsia"/>
          <w:bCs/>
          <w:snapToGrid w:val="0"/>
          <w:kern w:val="0"/>
          <w:sz w:val="32"/>
          <w:szCs w:val="32"/>
        </w:rPr>
        <w:t>第二章</w:t>
      </w:r>
      <w:r w:rsidRPr="00362A8C">
        <w:rPr>
          <w:rFonts w:ascii="宋体" w:eastAsia="宋体" w:hAnsi="宋体" w:cs="宋体" w:hint="eastAsia"/>
          <w:bCs/>
          <w:snapToGrid w:val="0"/>
          <w:kern w:val="0"/>
          <w:sz w:val="32"/>
          <w:szCs w:val="32"/>
        </w:rPr>
        <w:t>  </w:t>
      </w:r>
      <w:r w:rsidRPr="00362A8C">
        <w:rPr>
          <w:rFonts w:ascii="黑体" w:eastAsia="黑体" w:hAnsi="黑体" w:cs="Helvetica" w:hint="eastAsia"/>
          <w:bCs/>
          <w:snapToGrid w:val="0"/>
          <w:kern w:val="0"/>
          <w:sz w:val="32"/>
          <w:szCs w:val="32"/>
        </w:rPr>
        <w:t>职责分工</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lastRenderedPageBreak/>
        <w:t>第五条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河北省科学技术厅（以下简称省科技厅）是重点实验室的宏观管理部门，主要职责是：</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（一）贯彻落实国家和我省关于重点实验室建设发展的方针政策。</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（二）制定重点实验室建设规划、年度计划和相关政策，宏观指导重点实验室的建设和运行。</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（三）审定重点实验室的建立、调整和取消。</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（四）制定绩效评估体系，组织开展重点实验室绩效评估工作。</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第六条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省直有关部门（单位）、各市（含定州、辛集市）和</w:t>
      </w:r>
      <w:proofErr w:type="gramStart"/>
      <w:r w:rsidRPr="00362A8C">
        <w:rPr>
          <w:rFonts w:ascii="仿宋_GB2312" w:eastAsia="仿宋_GB2312" w:hAnsi="Helvetica" w:cs="Helvetica" w:hint="eastAsia"/>
          <w:snapToGrid w:val="0"/>
          <w:kern w:val="0"/>
          <w:sz w:val="32"/>
          <w:szCs w:val="32"/>
        </w:rPr>
        <w:t>雄安</w:t>
      </w:r>
      <w:proofErr w:type="gramEnd"/>
      <w:r w:rsidRPr="00362A8C">
        <w:rPr>
          <w:rFonts w:ascii="仿宋_GB2312" w:eastAsia="仿宋_GB2312" w:hAnsi="Helvetica" w:cs="Helvetica" w:hint="eastAsia"/>
          <w:snapToGrid w:val="0"/>
          <w:kern w:val="0"/>
          <w:sz w:val="32"/>
          <w:szCs w:val="32"/>
        </w:rPr>
        <w:t>新区科技行政管理部门是重点实验室的归口管理部门，主要职责是：</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（一）贯彻执行有关重点实验室建设管理的方针政策，制订本部门、本地区重点实验室建设发展的规划计划和激励政策。</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（二）负责本部门、本地区重点实验室的培育和推荐，具体指导、协调重点实验室运行管理，负责督促落实重点实验室建设运行期间所需的相关条件。</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（三）协助省科技厅开展绩效评估、年报统计等工作。</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第七条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依托单位是重点实验室建设运行的具体负责单位，主要职责是：</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宋体" w:cs="宋体"/>
          <w:snapToGrid w:val="0"/>
          <w:kern w:val="0"/>
          <w:sz w:val="32"/>
          <w:szCs w:val="32"/>
        </w:rPr>
      </w:pPr>
      <w:r w:rsidRPr="00362A8C">
        <w:rPr>
          <w:rFonts w:ascii="仿宋_GB2312" w:eastAsia="仿宋_GB2312" w:hAnsi="Helvetica" w:cs="Helvetica" w:hint="eastAsia"/>
          <w:snapToGrid w:val="0"/>
          <w:kern w:val="0"/>
          <w:sz w:val="32"/>
          <w:szCs w:val="32"/>
        </w:rPr>
        <w:t>（一）编制《河北省重点实验室建设申报书》（以下简称《申报书》）和《河北省重点实验室建设与运行实施方案》（以下简</w:t>
      </w:r>
      <w:r w:rsidRPr="00362A8C">
        <w:rPr>
          <w:rFonts w:ascii="仿宋_GB2312" w:eastAsia="仿宋_GB2312" w:hAnsi="Helvetica" w:cs="Helvetica" w:hint="eastAsia"/>
          <w:snapToGrid w:val="0"/>
          <w:kern w:val="0"/>
          <w:sz w:val="32"/>
          <w:szCs w:val="32"/>
        </w:rPr>
        <w:lastRenderedPageBreak/>
        <w:t>称《实施方案》），建立</w:t>
      </w:r>
      <w:proofErr w:type="gramStart"/>
      <w:r w:rsidRPr="00362A8C">
        <w:rPr>
          <w:rFonts w:ascii="仿宋_GB2312" w:eastAsia="仿宋_GB2312" w:hAnsi="Helvetica" w:cs="Helvetica" w:hint="eastAsia"/>
          <w:snapToGrid w:val="0"/>
          <w:kern w:val="0"/>
          <w:sz w:val="32"/>
          <w:szCs w:val="32"/>
        </w:rPr>
        <w:t>健全重点</w:t>
      </w:r>
      <w:proofErr w:type="gramEnd"/>
      <w:r w:rsidRPr="00362A8C">
        <w:rPr>
          <w:rFonts w:ascii="仿宋_GB2312" w:eastAsia="仿宋_GB2312" w:hAnsi="Helvetica" w:cs="Helvetica" w:hint="eastAsia"/>
          <w:snapToGrid w:val="0"/>
          <w:kern w:val="0"/>
          <w:sz w:val="32"/>
          <w:szCs w:val="32"/>
        </w:rPr>
        <w:t>实验室管理体制、运行机制、工作体系和规章制度。</w:t>
      </w:r>
    </w:p>
    <w:p w:rsidR="00362A8C" w:rsidRPr="00362A8C" w:rsidRDefault="00362A8C" w:rsidP="00362A8C">
      <w:pPr>
        <w:widowControl/>
        <w:shd w:val="clear" w:color="auto" w:fill="FFFFFF"/>
        <w:adjustRightInd w:val="0"/>
        <w:snapToGrid w:val="0"/>
        <w:spacing w:line="570" w:lineRule="exact"/>
        <w:ind w:firstLineChars="200" w:firstLine="640"/>
        <w:rPr>
          <w:rFonts w:ascii="仿宋_GB2312" w:eastAsia="仿宋_GB2312" w:hAnsi="Arial" w:cs="Arial"/>
          <w:snapToGrid w:val="0"/>
          <w:kern w:val="0"/>
          <w:sz w:val="32"/>
          <w:szCs w:val="32"/>
        </w:rPr>
      </w:pPr>
      <w:r w:rsidRPr="00362A8C">
        <w:rPr>
          <w:rFonts w:ascii="仿宋_GB2312" w:eastAsia="仿宋_GB2312" w:hAnsi="Helvetica" w:cs="Helvetica" w:hint="eastAsia"/>
          <w:snapToGrid w:val="0"/>
          <w:kern w:val="0"/>
          <w:sz w:val="32"/>
          <w:szCs w:val="32"/>
        </w:rPr>
        <w:t>（二）承担重点实验室建设任务和发展责任，为重点实验室提供科研办公场地、人员编制、仪器设备和经费保障等条件，协调解决重点实验室建设与运行中的有关问题。</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（三）负责重点实验室管理委员会和学术委员会的组织建设，聘任实验室主任、副主任和学术委员会主任、委员。</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（四）根据学术委员会建议，提出重点实验室名称、依托单位调整意见，报省科技厅审定确认。</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（五）负责重点实验室日常考核监督，配合管理部门做好绩效评估、年报统计等工作。</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第八条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共建单位是重点实验室建设和发展的协同单位，主要职责是：</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（一）确定参加重点实验室建设运行的具体机构和人员。</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（二）履行共建协议明确的职责义务，完成相关工作任务。</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（三）统筹各方资源力量，通过联合科研、成果转让、咨询服务、仪器设备开放共享等方式，支持重点实验室建设发展。</w:t>
      </w:r>
    </w:p>
    <w:p w:rsidR="00362A8C" w:rsidRPr="00362A8C" w:rsidRDefault="00362A8C" w:rsidP="00362A8C">
      <w:pPr>
        <w:widowControl/>
        <w:adjustRightInd w:val="0"/>
        <w:snapToGrid w:val="0"/>
        <w:spacing w:line="570" w:lineRule="exact"/>
        <w:jc w:val="center"/>
        <w:rPr>
          <w:rFonts w:ascii="黑体" w:eastAsia="黑体" w:hAnsi="黑体" w:cs="Helvetica"/>
          <w:bCs/>
          <w:snapToGrid w:val="0"/>
          <w:kern w:val="0"/>
          <w:sz w:val="32"/>
          <w:szCs w:val="32"/>
        </w:rPr>
      </w:pPr>
      <w:r w:rsidRPr="00362A8C">
        <w:rPr>
          <w:rFonts w:ascii="黑体" w:eastAsia="黑体" w:hAnsi="黑体" w:cs="Helvetica" w:hint="eastAsia"/>
          <w:bCs/>
          <w:snapToGrid w:val="0"/>
          <w:kern w:val="0"/>
          <w:sz w:val="32"/>
          <w:szCs w:val="32"/>
        </w:rPr>
        <w:t>第三章</w:t>
      </w:r>
      <w:r w:rsidRPr="00362A8C">
        <w:rPr>
          <w:rFonts w:ascii="宋体" w:eastAsia="宋体" w:hAnsi="宋体" w:cs="宋体" w:hint="eastAsia"/>
          <w:bCs/>
          <w:snapToGrid w:val="0"/>
          <w:kern w:val="0"/>
          <w:sz w:val="32"/>
          <w:szCs w:val="32"/>
        </w:rPr>
        <w:t>  </w:t>
      </w:r>
      <w:r w:rsidRPr="00362A8C">
        <w:rPr>
          <w:rFonts w:ascii="黑体" w:eastAsia="黑体" w:hAnsi="黑体" w:cs="Helvetica" w:hint="eastAsia"/>
          <w:bCs/>
          <w:snapToGrid w:val="0"/>
          <w:kern w:val="0"/>
          <w:sz w:val="32"/>
          <w:szCs w:val="32"/>
        </w:rPr>
        <w:t>申报评审</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第九条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省科技厅根据重点实验室总体规划布局、全省产业发展规划和关键领域技术创新需求，按年度提出优先布局的建设领域，发布申报指南。申报单位向归口管理部门提出创建申请，归口管理部门择优推荐。</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lastRenderedPageBreak/>
        <w:t>第十条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申请建设学科重点实验室应符合我省优先发展的学科和技术领域，体现河北优势和特色，并同时具备以下条件：</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（一）依托单位为高校或科研院所，具备培养或合作培养研究生的能力，无重大违法记录和诚信惩戒记录。</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（二）研究发展方向符合我省产业与科技优先发展领域，依托单位相关学科领域优势突出、特色鲜明，承担并完成了省级以上基础研究、应用基础研究和重点研发计划项目，取得重要科研成果。</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（三）坚持和加强党的全面领导，加强党组织建设，制定完善各类管理制度，保障重点实验室健康发展。</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（四）拥有技术水平高、组织能力强的学术带头人和结构合理的科研队伍，固定人员不少于25人，其中依托单位占比70%以上，且不与现有省级以上重点实验室、技术创新中心固定人员重复交叉。</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（五）具备良好的科研实验条件和相对集中的科研办公用房，其中科研办公用房面积不少于1000平方米，科研仪器设备原值不低于1000万元。</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（六）至少与相关领域2个国家或省级重点实验室签订伙伴实验室协议，建立伙伴实验室关系。</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（七）联合共建的重点实验室，依托单位与共建单位签订共建协议，确定共建方式、人员、任务分工以及各自的权利义务。</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lastRenderedPageBreak/>
        <w:t>（八）依托单位承诺为重点实验室提供必要的保障条件和经费支持，能够保障其有效建设、高效运行和可持续发展。</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（九）归口管理部门承诺在人、财、物等方面给予重点实验室必要支持和政策保障，有力支撑高质量完成各项科研任务。</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第十一条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申报建设企业重点实验室应符合我省优先发展的产业和技术领域，体现河北优势和特色，并同时具备以下条件：</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（一）依托单位为注册经营3年以上的科技型企业或新型研发机构，近3年各年度主营业务收入1亿元以上，年研究开发经费达到销售收入的4%以上，或年研发投入4000万元以上；无重大违法和诚信惩戒。</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二）研究发展方向符合我省产业发展方向，依托单位掌握相关行业领域核心技术，拥有高水平原创性成果或国家技术发明专利，科研优势突出、特色鲜明，承担并完成过省级以上重大科研项目，具有产学研联合研究开发工作基础和能力。</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（三）坚持和加强党的全面领导，加强党组织建设，制定完善各类管理制度，保障重点实验室健康发展。</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（四）拥有年龄结构与知识结构合理的高水平科研团队，固定科研人员不少于20人，其中依托单位占比70%以上，且不与现有省级以上重点实验室、技术创新中心固定人员交叉重复。</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（五）具备良好的科研实验条件和相对集中的科研办公用房，其中科研办公用房面积不低于800平方米，科研仪器设备原值不低于1000万元。</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lastRenderedPageBreak/>
        <w:t>（六）与相关领域2个以上国家或省级重点实验室签订伙伴实验室或技术合作协议，建立合作关系。</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（七）联合共建的重点实验室，依托单位与共建单位签订共建协议，确定共建方式、人员、任务分工以及各自的权利义务。</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（八）依托单位承诺为重点实验室提供必要的保障条件和经费支持，能够保障其有效建设、高效运行和可持续发展。</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（九）归口管理部门承诺在人、财、物等方面给予重点实验室必要支持和政策保障，有力支撑高质量完成各项科研任务。</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第十二条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符合条件的单位按申报通知要求编制《申报书》和《实施方案》等材料，向归口管理部门提出建设申请。归口管理部门按照重点实验室优先布局领域，结合基础前沿竞争需求和比较优势，向省科技厅推荐符合条件的建设申请。申请单位应对申请材料的完整性和真实性负责，并承担相应责任。</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第十三条</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省科技厅常年受理建设申请，委托第三</w:t>
      </w:r>
      <w:proofErr w:type="gramStart"/>
      <w:r w:rsidRPr="00362A8C">
        <w:rPr>
          <w:rFonts w:ascii="仿宋_GB2312" w:eastAsia="仿宋_GB2312" w:hAnsi="Helvetica" w:cs="Helvetica" w:hint="eastAsia"/>
          <w:snapToGrid w:val="0"/>
          <w:kern w:val="0"/>
          <w:sz w:val="32"/>
          <w:szCs w:val="32"/>
        </w:rPr>
        <w:t>方专业</w:t>
      </w:r>
      <w:proofErr w:type="gramEnd"/>
      <w:r w:rsidRPr="00362A8C">
        <w:rPr>
          <w:rFonts w:ascii="仿宋_GB2312" w:eastAsia="仿宋_GB2312" w:hAnsi="Helvetica" w:cs="Helvetica" w:hint="eastAsia"/>
          <w:snapToGrid w:val="0"/>
          <w:kern w:val="0"/>
          <w:sz w:val="32"/>
          <w:szCs w:val="32"/>
        </w:rPr>
        <w:t>机构，集中组织专家评审，必要时进行现场考察核查。</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第十四条</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省科技厅根据专家评审结果，按照“面向未来、优中选优、突出重点”原则，确定拟新建重点实验室名单，公示无异议后纳入重点实验室管理序列。</w:t>
      </w:r>
    </w:p>
    <w:p w:rsidR="00362A8C" w:rsidRPr="00362A8C" w:rsidRDefault="00362A8C" w:rsidP="00362A8C">
      <w:pPr>
        <w:widowControl/>
        <w:adjustRightInd w:val="0"/>
        <w:snapToGrid w:val="0"/>
        <w:spacing w:line="570" w:lineRule="exact"/>
        <w:jc w:val="center"/>
        <w:rPr>
          <w:rFonts w:ascii="黑体" w:eastAsia="黑体" w:hAnsi="黑体" w:cs="Helvetica"/>
          <w:bCs/>
          <w:snapToGrid w:val="0"/>
          <w:kern w:val="0"/>
          <w:sz w:val="32"/>
          <w:szCs w:val="32"/>
        </w:rPr>
      </w:pPr>
      <w:r w:rsidRPr="00362A8C">
        <w:rPr>
          <w:rFonts w:ascii="黑体" w:eastAsia="黑体" w:hAnsi="黑体" w:cs="Helvetica" w:hint="eastAsia"/>
          <w:bCs/>
          <w:snapToGrid w:val="0"/>
          <w:kern w:val="0"/>
          <w:sz w:val="32"/>
          <w:szCs w:val="32"/>
        </w:rPr>
        <w:t>第四章</w:t>
      </w:r>
      <w:r w:rsidRPr="00362A8C">
        <w:rPr>
          <w:rFonts w:ascii="宋体" w:eastAsia="宋体" w:hAnsi="宋体" w:cs="宋体" w:hint="eastAsia"/>
          <w:bCs/>
          <w:snapToGrid w:val="0"/>
          <w:kern w:val="0"/>
          <w:sz w:val="32"/>
          <w:szCs w:val="32"/>
        </w:rPr>
        <w:t>  </w:t>
      </w:r>
      <w:r w:rsidRPr="00362A8C">
        <w:rPr>
          <w:rFonts w:ascii="黑体" w:eastAsia="黑体" w:hAnsi="黑体" w:cs="Helvetica" w:hint="eastAsia"/>
          <w:bCs/>
          <w:snapToGrid w:val="0"/>
          <w:kern w:val="0"/>
          <w:sz w:val="32"/>
          <w:szCs w:val="32"/>
        </w:rPr>
        <w:t>运行管理</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 xml:space="preserve">第十五条 </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重点实验室实行管理委员会领导下的主任负责制，充分发挥学术委员会指导咨询作用，建立人财物相对独立的运行机制。管理委员会应赋予主任在重点实验室内</w:t>
      </w:r>
      <w:proofErr w:type="gramStart"/>
      <w:r w:rsidRPr="00362A8C">
        <w:rPr>
          <w:rFonts w:ascii="仿宋_GB2312" w:eastAsia="仿宋_GB2312" w:hAnsi="Helvetica" w:cs="Helvetica" w:hint="eastAsia"/>
          <w:snapToGrid w:val="0"/>
          <w:kern w:val="0"/>
          <w:sz w:val="32"/>
          <w:szCs w:val="32"/>
        </w:rPr>
        <w:t>部岗位</w:t>
      </w:r>
      <w:proofErr w:type="gramEnd"/>
      <w:r w:rsidRPr="00362A8C">
        <w:rPr>
          <w:rFonts w:ascii="仿宋_GB2312" w:eastAsia="仿宋_GB2312" w:hAnsi="Helvetica" w:cs="Helvetica" w:hint="eastAsia"/>
          <w:snapToGrid w:val="0"/>
          <w:kern w:val="0"/>
          <w:sz w:val="32"/>
          <w:szCs w:val="32"/>
        </w:rPr>
        <w:t>设置、</w:t>
      </w:r>
      <w:r w:rsidRPr="00362A8C">
        <w:rPr>
          <w:rFonts w:ascii="仿宋_GB2312" w:eastAsia="仿宋_GB2312" w:hAnsi="Helvetica" w:cs="Helvetica" w:hint="eastAsia"/>
          <w:snapToGrid w:val="0"/>
          <w:kern w:val="0"/>
          <w:sz w:val="32"/>
          <w:szCs w:val="32"/>
        </w:rPr>
        <w:lastRenderedPageBreak/>
        <w:t>科研活动组织、工作任务安排、人员聘用、绩效奖励等方面的充分自主权。</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第十六条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须组建由依托单位、共建单位人员组成的管理委员会，无共建单位的由依托单位相关人员组成，明确工作职责，健全工作制度。每年定期召开会议，研究审定重点实验室发展计划、重大项目、经费预决算、主任聘用等重大事项，为重点实验室规范建设、科学管理和持续发展提供决策支持和人财物等保障。</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第十七条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须设立由省内外高水平专家组成的学术委员会，一般为7-15人，其中依托单位人员不超过三分之一。学术委员会主任应由非依托单位、共建单位的有影响力的高水平专家担任。学术委员会每年至少召开一次会议，对实验室研究方向和研发内容、科研计划和项目、重大学术活动、年度工作计划和工作总结等提出咨询指导意见，并形成会议纪要。</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第十八条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主任应在本领域具有较高学术水平和较强组织管理能力，每届任期为5年，一般连任不得超过两届，每年在重点实验室工作时间不少于8个月。主任的聘任与调整须经管理委员会研究、依托单位决定，报归口管理部门和省科技厅备案。</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第十九条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重点实验室人员由固定人员和流动人员组成。固定人员指劳动关系在依托单位的研究人员、技术人员和专职管理人员；流动人员包括客座研究人员、访问学者、博士后研究人员</w:t>
      </w:r>
      <w:r w:rsidRPr="00362A8C">
        <w:rPr>
          <w:rFonts w:ascii="仿宋_GB2312" w:eastAsia="仿宋_GB2312" w:hAnsi="Helvetica" w:cs="Helvetica" w:hint="eastAsia"/>
          <w:snapToGrid w:val="0"/>
          <w:kern w:val="0"/>
          <w:sz w:val="32"/>
          <w:szCs w:val="32"/>
        </w:rPr>
        <w:lastRenderedPageBreak/>
        <w:t>等。固定人员实行聘任制，学术带头人及团队成员由实验室主任聘任。</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 xml:space="preserve">第二十条 </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重点实验室须建立健全内部工作机构，设置综合管理办公室和专职管理岗位，配备1-2名专职管理人员。按照研发方向和重点任务设立研究开发室组，明确学术带头人和成员，加强科研仪器配备、研究开发课题组织、人才引进和培养，完善科研开发工作体系。鼓励设置分支机构和学科站点。</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第二十一条</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重点实验室应建立内部管理制度，建立健全对资产管理、经费使用、人员管理、科研工作等方面的管理规章，加强内部运行管理。</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第二十二条</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应当加强科研工作组织，编制和下达年度科研工作计划，围绕研究方向及相关科学（技术）问题组织团队开展持续深入的系统性研究，采用组织自主研究课题、设立开放课题、申请纵向项目、接受横向项目、开展联合研发等方式，提升科研水平和创新贡献能力。</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 xml:space="preserve">第二十三条 </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重点实验室应有计划地实施科研仪器设备的更新改造和自主研制，建设实验（试验）功能平台，建立客座研究和访问学者制度，面向需求提供研发成果和咨询服务，组织开展科学技术普及活动。财政资金购买的大型科学仪器应纳入省大型科研仪器设备资源开放共享服务平台管理，面向社会开放服务。</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lastRenderedPageBreak/>
        <w:t xml:space="preserve">第二十四条 </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重点实验室应当加强知识产权的创造、保护与运用，在重点实验室完成的专著、论文、软件、数据库等成果应标注重点实验室名称。</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第二十五条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鼓励支持重点实验室根据基础条件、发展需要，建立法人制度或实体化运行。</w:t>
      </w:r>
    </w:p>
    <w:p w:rsidR="00362A8C" w:rsidRPr="00362A8C" w:rsidRDefault="00362A8C" w:rsidP="00362A8C">
      <w:pPr>
        <w:widowControl/>
        <w:adjustRightInd w:val="0"/>
        <w:snapToGrid w:val="0"/>
        <w:spacing w:line="570" w:lineRule="exact"/>
        <w:jc w:val="center"/>
        <w:rPr>
          <w:rFonts w:ascii="黑体" w:eastAsia="黑体" w:hAnsi="黑体" w:cs="Helvetica"/>
          <w:bCs/>
          <w:snapToGrid w:val="0"/>
          <w:kern w:val="0"/>
          <w:sz w:val="32"/>
          <w:szCs w:val="32"/>
        </w:rPr>
      </w:pPr>
      <w:r w:rsidRPr="00362A8C">
        <w:rPr>
          <w:rFonts w:ascii="黑体" w:eastAsia="黑体" w:hAnsi="黑体" w:cs="Helvetica" w:hint="eastAsia"/>
          <w:bCs/>
          <w:snapToGrid w:val="0"/>
          <w:kern w:val="0"/>
          <w:sz w:val="32"/>
          <w:szCs w:val="32"/>
        </w:rPr>
        <w:t>第五章</w:t>
      </w:r>
      <w:r w:rsidRPr="00362A8C">
        <w:rPr>
          <w:rFonts w:ascii="宋体" w:eastAsia="宋体" w:hAnsi="宋体" w:cs="宋体" w:hint="eastAsia"/>
          <w:bCs/>
          <w:snapToGrid w:val="0"/>
          <w:kern w:val="0"/>
          <w:sz w:val="32"/>
          <w:szCs w:val="32"/>
        </w:rPr>
        <w:t>  </w:t>
      </w:r>
      <w:r w:rsidRPr="00362A8C">
        <w:rPr>
          <w:rFonts w:ascii="黑体" w:eastAsia="黑体" w:hAnsi="黑体" w:cs="Helvetica" w:hint="eastAsia"/>
          <w:bCs/>
          <w:snapToGrid w:val="0"/>
          <w:kern w:val="0"/>
          <w:sz w:val="32"/>
          <w:szCs w:val="32"/>
        </w:rPr>
        <w:t>考核激励与动态管理</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第二十六条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省科技</w:t>
      </w:r>
      <w:proofErr w:type="gramStart"/>
      <w:r w:rsidRPr="00362A8C">
        <w:rPr>
          <w:rFonts w:ascii="仿宋_GB2312" w:eastAsia="仿宋_GB2312" w:hAnsi="Helvetica" w:cs="Helvetica" w:hint="eastAsia"/>
          <w:snapToGrid w:val="0"/>
          <w:kern w:val="0"/>
          <w:sz w:val="32"/>
          <w:szCs w:val="32"/>
        </w:rPr>
        <w:t>厅建立</w:t>
      </w:r>
      <w:proofErr w:type="gramEnd"/>
      <w:r w:rsidRPr="00362A8C">
        <w:rPr>
          <w:rFonts w:ascii="仿宋_GB2312" w:eastAsia="仿宋_GB2312" w:hAnsi="Helvetica" w:cs="Helvetica" w:hint="eastAsia"/>
          <w:snapToGrid w:val="0"/>
          <w:kern w:val="0"/>
          <w:sz w:val="32"/>
          <w:szCs w:val="32"/>
        </w:rPr>
        <w:t>重点实验室建设发展统计报告制度，重点实验室应当及时更新相关数据，按时填报年度统计报表。</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 xml:space="preserve">第二十七条 </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省科技厅根据《河北省重点实验室绩效评估指标体系》（附表），委托第三</w:t>
      </w:r>
      <w:proofErr w:type="gramStart"/>
      <w:r w:rsidRPr="00362A8C">
        <w:rPr>
          <w:rFonts w:ascii="仿宋_GB2312" w:eastAsia="仿宋_GB2312" w:hAnsi="Helvetica" w:cs="Helvetica" w:hint="eastAsia"/>
          <w:snapToGrid w:val="0"/>
          <w:kern w:val="0"/>
          <w:sz w:val="32"/>
          <w:szCs w:val="32"/>
        </w:rPr>
        <w:t>方专业</w:t>
      </w:r>
      <w:proofErr w:type="gramEnd"/>
      <w:r w:rsidRPr="00362A8C">
        <w:rPr>
          <w:rFonts w:ascii="仿宋_GB2312" w:eastAsia="仿宋_GB2312" w:hAnsi="Helvetica" w:cs="Helvetica" w:hint="eastAsia"/>
          <w:snapToGrid w:val="0"/>
          <w:kern w:val="0"/>
          <w:sz w:val="32"/>
          <w:szCs w:val="32"/>
        </w:rPr>
        <w:t>机构每年对重点实验室进行一次绩效评估，当年新建的重点实验室参加下一年度绩效评估，评估结果向社会公示。</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 xml:space="preserve">第二十八条 </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评估结果根据评估得分分为优秀、合格和不合格三个档次。其中，评估得分排名前10％的为优秀档次，后5％的为不合格档次，不合格的应按要求进行整改。</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第二十九条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省科技厅对优秀、合格档次重点实验室实施以下激励措施：</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（一）择优支持重点实验室牵头组织承担省级科技任务，实施重大科技项目。</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（二）同等条件下，优先推荐省级以上重点实验室固定人员申报国家重大人才工程计划；对以重点实验室为主体引进“高精</w:t>
      </w:r>
      <w:r w:rsidRPr="00362A8C">
        <w:rPr>
          <w:rFonts w:ascii="仿宋_GB2312" w:eastAsia="仿宋_GB2312" w:hAnsi="Helvetica" w:cs="Helvetica" w:hint="eastAsia"/>
          <w:snapToGrid w:val="0"/>
          <w:kern w:val="0"/>
          <w:sz w:val="32"/>
          <w:szCs w:val="32"/>
        </w:rPr>
        <w:lastRenderedPageBreak/>
        <w:t>尖缺”国际人才的“引才引智”和“海外工程师”专项，同等条件下给予优先支持。</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（三）省基础研究、应用示范场景等专项支持重点实验室开展概念验证、技术转移和成果熟化等活动。</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（四）优先支持重点实验室建设院士工作站、科技成果中试熟化基地、新技术应用示范场景等创新平台。</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第三十条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省科技厅会同归口管理部门加强对重点实验室建设的指导和服务，落实相关政策措施，打造标杆样板，推广先进经验，引导重点实验室高质量发展。</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第三十一条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重点实验室运行期间，因重点实验室名称、依托单位变更的，应提出书面申请，经归口管理部门审核后，报省科技厅审定变更。重点实验室主任、学术委员会主任、研究方向、科研办公设施地址等发生变化的，应当在变更后及时报归口管理部门和省科技厅备案。</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 xml:space="preserve">第三十二条 </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重点实验室有下列情形之一的，予以取消：</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（一）不参加绩效评估或绩效评估连续两次不合格的；</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（二）严重弄虚作假，提供虚假材料和不真实数据的；</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（三）由于技术原因发生重大质量、安全、环境事故的；</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（四）出现违法或学术不端、科研失信等问题，造成不良影响的；</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t>（五）依托单位停业、破产、撤销或主营业务发生变化，不能保障重点实验室正常运行的；</w:t>
      </w:r>
    </w:p>
    <w:p w:rsidR="00362A8C" w:rsidRPr="00362A8C" w:rsidRDefault="00362A8C" w:rsidP="00362A8C">
      <w:pPr>
        <w:widowControl/>
        <w:adjustRightInd w:val="0"/>
        <w:snapToGrid w:val="0"/>
        <w:spacing w:line="570" w:lineRule="exact"/>
        <w:ind w:firstLineChars="200" w:firstLine="640"/>
        <w:jc w:val="left"/>
        <w:rPr>
          <w:rFonts w:ascii="仿宋_GB2312" w:eastAsia="仿宋_GB2312" w:hAnsi="Helvetica" w:cs="Helvetica"/>
          <w:snapToGrid w:val="0"/>
          <w:kern w:val="0"/>
          <w:sz w:val="32"/>
          <w:szCs w:val="32"/>
        </w:rPr>
      </w:pPr>
      <w:r w:rsidRPr="00362A8C">
        <w:rPr>
          <w:rFonts w:ascii="仿宋_GB2312" w:eastAsia="仿宋_GB2312" w:hAnsi="Helvetica" w:cs="Helvetica" w:hint="eastAsia"/>
          <w:snapToGrid w:val="0"/>
          <w:kern w:val="0"/>
          <w:sz w:val="32"/>
          <w:szCs w:val="32"/>
        </w:rPr>
        <w:lastRenderedPageBreak/>
        <w:t>（六）依托单位自愿提出取消重点实验室的。</w:t>
      </w:r>
    </w:p>
    <w:p w:rsidR="00362A8C" w:rsidRPr="00362A8C" w:rsidRDefault="00362A8C" w:rsidP="00362A8C">
      <w:pPr>
        <w:widowControl/>
        <w:adjustRightInd w:val="0"/>
        <w:snapToGrid w:val="0"/>
        <w:spacing w:line="570" w:lineRule="exact"/>
        <w:jc w:val="center"/>
        <w:rPr>
          <w:rFonts w:ascii="黑体" w:eastAsia="黑体" w:hAnsi="黑体" w:cs="Helvetica"/>
          <w:bCs/>
          <w:snapToGrid w:val="0"/>
          <w:kern w:val="0"/>
          <w:sz w:val="32"/>
          <w:szCs w:val="32"/>
        </w:rPr>
      </w:pPr>
      <w:r w:rsidRPr="00362A8C">
        <w:rPr>
          <w:rFonts w:ascii="黑体" w:eastAsia="黑体" w:hAnsi="黑体" w:cs="Helvetica" w:hint="eastAsia"/>
          <w:bCs/>
          <w:snapToGrid w:val="0"/>
          <w:kern w:val="0"/>
          <w:sz w:val="32"/>
          <w:szCs w:val="32"/>
        </w:rPr>
        <w:t xml:space="preserve">第六章 </w:t>
      </w:r>
      <w:r w:rsidRPr="00362A8C">
        <w:rPr>
          <w:rFonts w:ascii="宋体" w:eastAsia="宋体" w:hAnsi="宋体" w:cs="宋体" w:hint="eastAsia"/>
          <w:bCs/>
          <w:snapToGrid w:val="0"/>
          <w:kern w:val="0"/>
          <w:sz w:val="32"/>
          <w:szCs w:val="32"/>
        </w:rPr>
        <w:t> </w:t>
      </w:r>
      <w:r w:rsidRPr="00362A8C">
        <w:rPr>
          <w:rFonts w:ascii="黑体" w:eastAsia="黑体" w:hAnsi="黑体" w:cs="Helvetica" w:hint="eastAsia"/>
          <w:bCs/>
          <w:snapToGrid w:val="0"/>
          <w:kern w:val="0"/>
          <w:sz w:val="32"/>
          <w:szCs w:val="32"/>
        </w:rPr>
        <w:t xml:space="preserve">附 </w:t>
      </w:r>
      <w:r w:rsidRPr="00362A8C">
        <w:rPr>
          <w:rFonts w:ascii="宋体" w:eastAsia="宋体" w:hAnsi="宋体" w:cs="宋体" w:hint="eastAsia"/>
          <w:bCs/>
          <w:snapToGrid w:val="0"/>
          <w:kern w:val="0"/>
          <w:sz w:val="32"/>
          <w:szCs w:val="32"/>
        </w:rPr>
        <w:t> </w:t>
      </w:r>
      <w:r w:rsidRPr="00362A8C">
        <w:rPr>
          <w:rFonts w:ascii="黑体" w:eastAsia="黑体" w:hAnsi="黑体" w:cs="Helvetica" w:hint="eastAsia"/>
          <w:bCs/>
          <w:snapToGrid w:val="0"/>
          <w:kern w:val="0"/>
          <w:sz w:val="32"/>
          <w:szCs w:val="32"/>
        </w:rPr>
        <w:t>则</w:t>
      </w:r>
    </w:p>
    <w:p w:rsidR="00362A8C" w:rsidRPr="00362A8C" w:rsidRDefault="00362A8C" w:rsidP="00362A8C">
      <w:pPr>
        <w:widowControl/>
        <w:adjustRightInd w:val="0"/>
        <w:snapToGrid w:val="0"/>
        <w:spacing w:line="570" w:lineRule="exact"/>
        <w:ind w:firstLineChars="200" w:firstLine="643"/>
        <w:jc w:val="left"/>
        <w:rPr>
          <w:rFonts w:ascii="仿宋_GB2312" w:eastAsia="仿宋_GB2312" w:hAnsi="宋体" w:cs="宋体"/>
          <w:snapToGrid w:val="0"/>
          <w:kern w:val="0"/>
          <w:sz w:val="32"/>
          <w:szCs w:val="32"/>
        </w:rPr>
      </w:pPr>
      <w:r w:rsidRPr="00362A8C">
        <w:rPr>
          <w:rFonts w:ascii="仿宋_GB2312" w:eastAsia="仿宋_GB2312" w:hAnsi="Helvetica" w:cs="Helvetica" w:hint="eastAsia"/>
          <w:b/>
          <w:bCs/>
          <w:snapToGrid w:val="0"/>
          <w:kern w:val="0"/>
          <w:sz w:val="32"/>
          <w:szCs w:val="32"/>
        </w:rPr>
        <w:t xml:space="preserve">第三十三条 </w:t>
      </w:r>
      <w:r w:rsidRPr="00362A8C">
        <w:rPr>
          <w:rFonts w:ascii="仿宋_GB2312" w:eastAsia="仿宋_GB2312" w:hAnsi="Helvetica" w:cs="Helvetica" w:hint="eastAsia"/>
          <w:b/>
          <w:bCs/>
          <w:snapToGrid w:val="0"/>
          <w:kern w:val="0"/>
          <w:sz w:val="32"/>
          <w:szCs w:val="32"/>
        </w:rPr>
        <w:t> </w:t>
      </w:r>
      <w:r w:rsidRPr="00362A8C">
        <w:rPr>
          <w:rFonts w:ascii="仿宋_GB2312" w:eastAsia="仿宋_GB2312" w:hAnsi="Helvetica" w:cs="Helvetica" w:hint="eastAsia"/>
          <w:snapToGrid w:val="0"/>
          <w:kern w:val="0"/>
          <w:sz w:val="32"/>
          <w:szCs w:val="32"/>
        </w:rPr>
        <w:t>重点实验室统一命名为“河北省***重点实验室”，英文名称为“</w:t>
      </w:r>
      <w:proofErr w:type="spellStart"/>
      <w:r w:rsidRPr="00362A8C">
        <w:rPr>
          <w:rFonts w:ascii="仿宋_GB2312" w:eastAsia="仿宋_GB2312" w:hAnsi="Helvetica" w:cs="Helvetica" w:hint="eastAsia"/>
          <w:snapToGrid w:val="0"/>
          <w:kern w:val="0"/>
          <w:sz w:val="32"/>
          <w:szCs w:val="32"/>
        </w:rPr>
        <w:t>Hebei</w:t>
      </w:r>
      <w:proofErr w:type="spellEnd"/>
      <w:r w:rsidRPr="00362A8C">
        <w:rPr>
          <w:rFonts w:ascii="仿宋_GB2312" w:eastAsia="仿宋_GB2312" w:hAnsi="Helvetica" w:cs="Helvetica" w:hint="eastAsia"/>
          <w:snapToGrid w:val="0"/>
          <w:kern w:val="0"/>
          <w:sz w:val="32"/>
          <w:szCs w:val="32"/>
        </w:rPr>
        <w:t xml:space="preserve"> Key Laboratory of ***”。</w:t>
      </w:r>
    </w:p>
    <w:p w:rsidR="0082693E" w:rsidRDefault="00362A8C" w:rsidP="00362A8C">
      <w:pPr>
        <w:widowControl/>
        <w:shd w:val="clear" w:color="auto" w:fill="FFFFFF"/>
        <w:adjustRightInd w:val="0"/>
        <w:snapToGrid w:val="0"/>
        <w:spacing w:line="570" w:lineRule="exact"/>
        <w:ind w:firstLineChars="200" w:firstLine="643"/>
        <w:rPr>
          <w:rFonts w:ascii="仿宋_GB2312" w:eastAsia="仿宋_GB2312" w:hAnsi="Helvetica" w:cs="Helvetica"/>
          <w:snapToGrid w:val="0"/>
          <w:kern w:val="0"/>
          <w:sz w:val="32"/>
          <w:szCs w:val="32"/>
        </w:rPr>
      </w:pPr>
      <w:r w:rsidRPr="00362A8C">
        <w:rPr>
          <w:rFonts w:ascii="仿宋_GB2312" w:eastAsia="仿宋_GB2312" w:hAnsi="Helvetica" w:cs="Helvetica" w:hint="eastAsia"/>
          <w:b/>
          <w:bCs/>
          <w:snapToGrid w:val="0"/>
          <w:kern w:val="0"/>
          <w:sz w:val="32"/>
          <w:szCs w:val="32"/>
        </w:rPr>
        <w:t>第三十四条</w:t>
      </w:r>
      <w:r w:rsidRPr="00362A8C">
        <w:rPr>
          <w:rFonts w:ascii="仿宋_GB2312" w:eastAsia="仿宋_GB2312" w:hAnsi="Helvetica" w:cs="Helvetica" w:hint="eastAsia"/>
          <w:snapToGrid w:val="0"/>
          <w:kern w:val="0"/>
          <w:sz w:val="32"/>
          <w:szCs w:val="32"/>
        </w:rPr>
        <w:t>  </w:t>
      </w:r>
      <w:r w:rsidRPr="00362A8C">
        <w:rPr>
          <w:rFonts w:ascii="仿宋_GB2312" w:eastAsia="仿宋_GB2312" w:hAnsi="Helvetica" w:cs="Helvetica" w:hint="eastAsia"/>
          <w:snapToGrid w:val="0"/>
          <w:kern w:val="0"/>
          <w:sz w:val="32"/>
          <w:szCs w:val="32"/>
        </w:rPr>
        <w:t>本办法由省科技厅负责解释，自印发之日起施行，有效期5年。</w:t>
      </w:r>
    </w:p>
    <w:p w:rsidR="00362A8C" w:rsidRPr="00362A8C" w:rsidRDefault="00362A8C" w:rsidP="0082693E">
      <w:pPr>
        <w:widowControl/>
        <w:shd w:val="clear" w:color="auto" w:fill="FFFFFF"/>
        <w:adjustRightInd w:val="0"/>
        <w:snapToGrid w:val="0"/>
        <w:spacing w:line="570" w:lineRule="exact"/>
        <w:ind w:firstLineChars="200" w:firstLine="640"/>
        <w:rPr>
          <w:rFonts w:ascii="仿宋_GB2312" w:eastAsia="仿宋_GB2312" w:hAnsi="Arial" w:cs="Arial"/>
          <w:snapToGrid w:val="0"/>
          <w:kern w:val="0"/>
          <w:sz w:val="32"/>
          <w:szCs w:val="32"/>
        </w:rPr>
      </w:pPr>
      <w:r w:rsidRPr="00362A8C">
        <w:rPr>
          <w:rFonts w:ascii="仿宋_GB2312" w:eastAsia="仿宋_GB2312" w:hAnsi="Helvetica" w:cs="Helvetica" w:hint="eastAsia"/>
          <w:snapToGrid w:val="0"/>
          <w:kern w:val="0"/>
          <w:sz w:val="32"/>
          <w:szCs w:val="32"/>
        </w:rPr>
        <w:t>《河北省学科重点实验室建设与管理办法》（</w:t>
      </w:r>
      <w:proofErr w:type="gramStart"/>
      <w:r w:rsidRPr="00362A8C">
        <w:rPr>
          <w:rFonts w:ascii="仿宋_GB2312" w:eastAsia="仿宋_GB2312" w:hAnsi="Helvetica" w:cs="Helvetica" w:hint="eastAsia"/>
          <w:snapToGrid w:val="0"/>
          <w:kern w:val="0"/>
          <w:sz w:val="32"/>
          <w:szCs w:val="32"/>
        </w:rPr>
        <w:t>冀科平</w:t>
      </w:r>
      <w:proofErr w:type="gramEnd"/>
      <w:r w:rsidRPr="00362A8C">
        <w:rPr>
          <w:rFonts w:ascii="仿宋_GB2312" w:eastAsia="仿宋_GB2312" w:hAnsi="Helvetica" w:cs="Helvetica" w:hint="eastAsia"/>
          <w:snapToGrid w:val="0"/>
          <w:kern w:val="0"/>
          <w:sz w:val="32"/>
          <w:szCs w:val="32"/>
        </w:rPr>
        <w:t>〔2018〕10号）、《河北省企业重点实验室建设与运行管理办法》（</w:t>
      </w:r>
      <w:proofErr w:type="gramStart"/>
      <w:r w:rsidRPr="00362A8C">
        <w:rPr>
          <w:rFonts w:ascii="仿宋_GB2312" w:eastAsia="仿宋_GB2312" w:hAnsi="Helvetica" w:cs="Helvetica" w:hint="eastAsia"/>
          <w:snapToGrid w:val="0"/>
          <w:kern w:val="0"/>
          <w:sz w:val="32"/>
          <w:szCs w:val="32"/>
        </w:rPr>
        <w:t>冀科平规</w:t>
      </w:r>
      <w:proofErr w:type="gramEnd"/>
      <w:r w:rsidRPr="00362A8C">
        <w:rPr>
          <w:rFonts w:ascii="仿宋_GB2312" w:eastAsia="仿宋_GB2312" w:hAnsi="Helvetica" w:cs="Helvetica" w:hint="eastAsia"/>
          <w:snapToGrid w:val="0"/>
          <w:kern w:val="0"/>
          <w:sz w:val="32"/>
          <w:szCs w:val="32"/>
        </w:rPr>
        <w:t>〔2020〕2号）《河北省重点实验室绩效评估办法（试行）》（</w:t>
      </w:r>
      <w:proofErr w:type="gramStart"/>
      <w:r w:rsidRPr="00362A8C">
        <w:rPr>
          <w:rFonts w:ascii="仿宋_GB2312" w:eastAsia="仿宋_GB2312" w:hAnsi="Helvetica" w:cs="Helvetica" w:hint="eastAsia"/>
          <w:snapToGrid w:val="0"/>
          <w:kern w:val="0"/>
          <w:sz w:val="32"/>
          <w:szCs w:val="32"/>
        </w:rPr>
        <w:t>冀科平规</w:t>
      </w:r>
      <w:proofErr w:type="gramEnd"/>
      <w:r w:rsidRPr="00362A8C">
        <w:rPr>
          <w:rFonts w:ascii="仿宋_GB2312" w:eastAsia="仿宋_GB2312" w:hAnsi="Helvetica" w:cs="Helvetica" w:hint="eastAsia"/>
          <w:snapToGrid w:val="0"/>
          <w:kern w:val="0"/>
          <w:sz w:val="32"/>
          <w:szCs w:val="32"/>
        </w:rPr>
        <w:t>〔2019〕1号）同时废止。</w:t>
      </w:r>
    </w:p>
    <w:p w:rsidR="00360DAB" w:rsidRDefault="00360DAB" w:rsidP="00362A8C">
      <w:pPr>
        <w:adjustRightInd w:val="0"/>
        <w:snapToGrid w:val="0"/>
        <w:spacing w:line="570" w:lineRule="exact"/>
        <w:rPr>
          <w:rFonts w:ascii="仿宋_GB2312" w:eastAsia="仿宋_GB2312"/>
          <w:snapToGrid w:val="0"/>
          <w:sz w:val="32"/>
          <w:szCs w:val="32"/>
        </w:rPr>
      </w:pPr>
    </w:p>
    <w:p w:rsidR="008959F8" w:rsidRPr="008959F8" w:rsidRDefault="008959F8" w:rsidP="008959F8">
      <w:pPr>
        <w:widowControl/>
        <w:adjustRightInd w:val="0"/>
        <w:snapToGrid w:val="0"/>
        <w:spacing w:line="570" w:lineRule="exact"/>
        <w:ind w:firstLineChars="200" w:firstLine="640"/>
        <w:jc w:val="left"/>
        <w:rPr>
          <w:rFonts w:ascii="黑体" w:eastAsia="黑体" w:hAnsi="黑体" w:cs="Helvetica"/>
          <w:snapToGrid w:val="0"/>
          <w:kern w:val="0"/>
          <w:sz w:val="32"/>
          <w:szCs w:val="32"/>
        </w:rPr>
      </w:pPr>
      <w:r w:rsidRPr="008959F8">
        <w:rPr>
          <w:rFonts w:ascii="黑体" w:eastAsia="黑体" w:hAnsi="黑体" w:cs="Helvetica" w:hint="eastAsia"/>
          <w:snapToGrid w:val="0"/>
          <w:kern w:val="0"/>
          <w:sz w:val="32"/>
          <w:szCs w:val="32"/>
        </w:rPr>
        <w:t>附件：</w:t>
      </w:r>
    </w:p>
    <w:p w:rsidR="008959F8" w:rsidRPr="008959F8" w:rsidRDefault="008570A2" w:rsidP="00087178">
      <w:pPr>
        <w:widowControl/>
        <w:adjustRightInd w:val="0"/>
        <w:snapToGrid w:val="0"/>
        <w:spacing w:line="570" w:lineRule="exact"/>
        <w:ind w:firstLineChars="200" w:firstLine="420"/>
        <w:jc w:val="left"/>
        <w:rPr>
          <w:rFonts w:ascii="仿宋_GB2312" w:eastAsia="仿宋_GB2312" w:hAnsi="Helvetica" w:cs="Helvetica"/>
          <w:snapToGrid w:val="0"/>
          <w:kern w:val="0"/>
          <w:sz w:val="32"/>
          <w:szCs w:val="32"/>
        </w:rPr>
      </w:pPr>
      <w:hyperlink r:id="rId6" w:history="1">
        <w:r w:rsidR="008959F8" w:rsidRPr="008959F8">
          <w:rPr>
            <w:rFonts w:ascii="仿宋_GB2312" w:eastAsia="仿宋_GB2312" w:hAnsi="Helvetica" w:cs="Helvetica" w:hint="eastAsia"/>
            <w:snapToGrid w:val="0"/>
            <w:kern w:val="0"/>
            <w:sz w:val="32"/>
            <w:szCs w:val="32"/>
          </w:rPr>
          <w:t>1.河北省学科重点实验室绩效评估指标体系</w:t>
        </w:r>
      </w:hyperlink>
    </w:p>
    <w:p w:rsidR="008959F8" w:rsidRPr="008959F8" w:rsidRDefault="008570A2" w:rsidP="00087178">
      <w:pPr>
        <w:widowControl/>
        <w:adjustRightInd w:val="0"/>
        <w:snapToGrid w:val="0"/>
        <w:spacing w:line="570" w:lineRule="exact"/>
        <w:ind w:firstLineChars="200" w:firstLine="420"/>
        <w:jc w:val="left"/>
        <w:rPr>
          <w:rFonts w:ascii="仿宋_GB2312" w:eastAsia="仿宋_GB2312" w:hAnsi="Helvetica" w:cs="Helvetica"/>
          <w:snapToGrid w:val="0"/>
          <w:kern w:val="0"/>
          <w:sz w:val="32"/>
          <w:szCs w:val="32"/>
        </w:rPr>
      </w:pPr>
      <w:hyperlink r:id="rId7" w:history="1">
        <w:r w:rsidR="008959F8" w:rsidRPr="008959F8">
          <w:rPr>
            <w:rFonts w:ascii="仿宋_GB2312" w:eastAsia="仿宋_GB2312" w:hAnsi="Helvetica" w:cs="Helvetica" w:hint="eastAsia"/>
            <w:snapToGrid w:val="0"/>
            <w:kern w:val="0"/>
            <w:sz w:val="32"/>
            <w:szCs w:val="32"/>
          </w:rPr>
          <w:t>2.河北省企业重点实验室绩效评估指标体系</w:t>
        </w:r>
      </w:hyperlink>
    </w:p>
    <w:p w:rsidR="0082693E" w:rsidRDefault="0082693E" w:rsidP="00362A8C">
      <w:pPr>
        <w:adjustRightInd w:val="0"/>
        <w:snapToGrid w:val="0"/>
        <w:spacing w:line="570" w:lineRule="exact"/>
        <w:rPr>
          <w:rFonts w:ascii="仿宋_GB2312" w:eastAsia="仿宋_GB2312"/>
          <w:snapToGrid w:val="0"/>
          <w:sz w:val="32"/>
          <w:szCs w:val="32"/>
        </w:rPr>
      </w:pPr>
    </w:p>
    <w:p w:rsidR="0082693E" w:rsidRDefault="0082693E" w:rsidP="00362A8C">
      <w:pPr>
        <w:adjustRightInd w:val="0"/>
        <w:snapToGrid w:val="0"/>
        <w:spacing w:line="570" w:lineRule="exact"/>
        <w:rPr>
          <w:rFonts w:ascii="仿宋_GB2312" w:eastAsia="仿宋_GB2312"/>
          <w:snapToGrid w:val="0"/>
          <w:sz w:val="32"/>
          <w:szCs w:val="32"/>
        </w:rPr>
      </w:pPr>
    </w:p>
    <w:p w:rsidR="0082693E" w:rsidRDefault="0082693E" w:rsidP="00362A8C">
      <w:pPr>
        <w:adjustRightInd w:val="0"/>
        <w:snapToGrid w:val="0"/>
        <w:spacing w:line="570" w:lineRule="exact"/>
        <w:rPr>
          <w:rFonts w:ascii="仿宋_GB2312" w:eastAsia="仿宋_GB2312"/>
          <w:snapToGrid w:val="0"/>
          <w:sz w:val="32"/>
          <w:szCs w:val="32"/>
        </w:rPr>
      </w:pPr>
    </w:p>
    <w:p w:rsidR="0082693E" w:rsidRDefault="0082693E" w:rsidP="00362A8C">
      <w:pPr>
        <w:adjustRightInd w:val="0"/>
        <w:snapToGrid w:val="0"/>
        <w:spacing w:line="570" w:lineRule="exact"/>
        <w:rPr>
          <w:rFonts w:ascii="仿宋_GB2312" w:eastAsia="仿宋_GB2312"/>
          <w:snapToGrid w:val="0"/>
          <w:sz w:val="32"/>
          <w:szCs w:val="32"/>
        </w:rPr>
      </w:pPr>
    </w:p>
    <w:p w:rsidR="0082693E" w:rsidRDefault="0082693E" w:rsidP="00362A8C">
      <w:pPr>
        <w:adjustRightInd w:val="0"/>
        <w:snapToGrid w:val="0"/>
        <w:spacing w:line="570" w:lineRule="exact"/>
        <w:rPr>
          <w:rFonts w:ascii="仿宋_GB2312" w:eastAsia="仿宋_GB2312"/>
          <w:snapToGrid w:val="0"/>
          <w:sz w:val="32"/>
          <w:szCs w:val="32"/>
        </w:rPr>
      </w:pPr>
    </w:p>
    <w:p w:rsidR="0082693E" w:rsidRDefault="0082693E" w:rsidP="00362A8C">
      <w:pPr>
        <w:adjustRightInd w:val="0"/>
        <w:snapToGrid w:val="0"/>
        <w:spacing w:line="570" w:lineRule="exact"/>
        <w:rPr>
          <w:rFonts w:ascii="仿宋_GB2312" w:eastAsia="仿宋_GB2312"/>
          <w:snapToGrid w:val="0"/>
          <w:sz w:val="32"/>
          <w:szCs w:val="32"/>
        </w:rPr>
      </w:pPr>
    </w:p>
    <w:p w:rsidR="0082693E" w:rsidRDefault="0082693E" w:rsidP="00362A8C">
      <w:pPr>
        <w:adjustRightInd w:val="0"/>
        <w:snapToGrid w:val="0"/>
        <w:spacing w:line="570" w:lineRule="exact"/>
        <w:rPr>
          <w:rFonts w:ascii="仿宋_GB2312" w:eastAsia="仿宋_GB2312"/>
          <w:snapToGrid w:val="0"/>
          <w:sz w:val="32"/>
          <w:szCs w:val="32"/>
        </w:rPr>
      </w:pPr>
    </w:p>
    <w:p w:rsidR="0082693E" w:rsidRDefault="0082693E" w:rsidP="00362A8C">
      <w:pPr>
        <w:adjustRightInd w:val="0"/>
        <w:snapToGrid w:val="0"/>
        <w:spacing w:line="570" w:lineRule="exact"/>
        <w:rPr>
          <w:rFonts w:ascii="仿宋_GB2312" w:eastAsia="仿宋_GB2312"/>
          <w:snapToGrid w:val="0"/>
          <w:sz w:val="32"/>
          <w:szCs w:val="32"/>
        </w:rPr>
      </w:pPr>
    </w:p>
    <w:p w:rsidR="0082693E" w:rsidRDefault="0082693E" w:rsidP="0082693E">
      <w:pPr>
        <w:adjustRightInd w:val="0"/>
        <w:snapToGrid w:val="0"/>
        <w:rPr>
          <w:rFonts w:ascii="CESI黑体-GB2312" w:eastAsia="CESI黑体-GB2312" w:hAnsi="CESI黑体-GB2312" w:cs="CESI黑体-GB2312"/>
          <w:color w:val="000000"/>
          <w:kern w:val="0"/>
          <w:sz w:val="32"/>
          <w:szCs w:val="32"/>
          <w:lang/>
        </w:rPr>
      </w:pPr>
      <w:r>
        <w:rPr>
          <w:rFonts w:ascii="CESI黑体-GB2312" w:eastAsia="CESI黑体-GB2312" w:hAnsi="CESI黑体-GB2312" w:cs="CESI黑体-GB2312" w:hint="eastAsia"/>
          <w:color w:val="000000"/>
          <w:kern w:val="0"/>
          <w:sz w:val="32"/>
          <w:szCs w:val="32"/>
          <w:lang/>
        </w:rPr>
        <w:lastRenderedPageBreak/>
        <w:t>附件1</w:t>
      </w:r>
    </w:p>
    <w:p w:rsidR="0082693E" w:rsidRDefault="0082693E" w:rsidP="0082693E">
      <w:pPr>
        <w:adjustRightInd w:val="0"/>
        <w:snapToGrid w:val="0"/>
        <w:jc w:val="center"/>
        <w:rPr>
          <w:rFonts w:ascii="方正小标宋_GBK" w:eastAsia="方正小标宋_GBK" w:hAnsi="方正小标宋_GBK" w:cs="方正小标宋_GBK"/>
          <w:color w:val="000000"/>
          <w:sz w:val="32"/>
          <w:szCs w:val="32"/>
          <w:highlight w:val="yellow"/>
        </w:rPr>
      </w:pPr>
      <w:r>
        <w:rPr>
          <w:rFonts w:ascii="方正小标宋_GBK" w:eastAsia="方正小标宋_GBK" w:hAnsi="方正小标宋_GBK" w:cs="方正小标宋_GBK" w:hint="eastAsia"/>
          <w:color w:val="000000"/>
          <w:kern w:val="0"/>
          <w:sz w:val="44"/>
          <w:szCs w:val="44"/>
          <w:lang/>
        </w:rPr>
        <w:t>河北省学科重点实验室绩效评估指标体系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1238"/>
        <w:gridCol w:w="6100"/>
        <w:gridCol w:w="721"/>
      </w:tblGrid>
      <w:tr w:rsidR="0082693E" w:rsidTr="00447BEF">
        <w:trPr>
          <w:trHeight w:val="540"/>
          <w:jc w:val="center"/>
        </w:trPr>
        <w:tc>
          <w:tcPr>
            <w:tcW w:w="1182" w:type="dxa"/>
            <w:tcBorders>
              <w:top w:val="single" w:sz="4" w:space="0" w:color="auto"/>
              <w:left w:val="single" w:sz="4" w:space="0" w:color="auto"/>
              <w:bottom w:val="single" w:sz="4" w:space="0" w:color="auto"/>
              <w:right w:val="single" w:sz="4" w:space="0" w:color="auto"/>
            </w:tcBorders>
            <w:vAlign w:val="center"/>
          </w:tcPr>
          <w:p w:rsidR="0082693E" w:rsidRDefault="0082693E" w:rsidP="00447BEF">
            <w:pPr>
              <w:snapToGrid w:val="0"/>
              <w:jc w:val="center"/>
              <w:rPr>
                <w:rFonts w:ascii="黑体" w:eastAsia="黑体" w:hAnsi="宋体" w:cs="黑体"/>
                <w:sz w:val="24"/>
                <w:szCs w:val="24"/>
              </w:rPr>
            </w:pPr>
            <w:r>
              <w:rPr>
                <w:rFonts w:ascii="黑体" w:eastAsia="黑体" w:hAnsi="宋体" w:cs="黑体"/>
                <w:color w:val="000000"/>
                <w:kern w:val="0"/>
                <w:sz w:val="24"/>
                <w:szCs w:val="24"/>
                <w:lang/>
              </w:rPr>
              <w:t>一级指标</w:t>
            </w: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黑体" w:eastAsia="黑体" w:hAnsi="宋体" w:cs="黑体"/>
                <w:sz w:val="24"/>
                <w:szCs w:val="24"/>
              </w:rPr>
            </w:pPr>
            <w:r>
              <w:rPr>
                <w:rFonts w:ascii="黑体" w:eastAsia="黑体" w:hAnsi="宋体" w:cs="黑体"/>
                <w:color w:val="000000"/>
                <w:kern w:val="0"/>
                <w:sz w:val="24"/>
                <w:szCs w:val="24"/>
                <w:lang/>
              </w:rPr>
              <w:t>二级指标</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黑体" w:eastAsia="黑体" w:hAnsi="宋体" w:cs="黑体"/>
                <w:sz w:val="24"/>
                <w:szCs w:val="24"/>
              </w:rPr>
            </w:pPr>
            <w:r>
              <w:rPr>
                <w:rFonts w:ascii="黑体" w:eastAsia="黑体" w:hAnsi="宋体" w:cs="黑体"/>
                <w:color w:val="000000"/>
                <w:kern w:val="0"/>
                <w:sz w:val="24"/>
                <w:szCs w:val="24"/>
                <w:lang/>
              </w:rPr>
              <w:t>评估要点</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黑体" w:eastAsia="黑体" w:hAnsi="宋体" w:cs="黑体"/>
                <w:sz w:val="24"/>
                <w:szCs w:val="24"/>
              </w:rPr>
            </w:pPr>
            <w:r>
              <w:rPr>
                <w:rFonts w:ascii="黑体" w:eastAsia="黑体" w:hAnsi="宋体" w:cs="黑体"/>
                <w:color w:val="000000"/>
                <w:kern w:val="0"/>
                <w:sz w:val="24"/>
                <w:szCs w:val="24"/>
                <w:lang/>
              </w:rPr>
              <w:t>权重</w:t>
            </w:r>
          </w:p>
        </w:tc>
      </w:tr>
      <w:tr w:rsidR="0082693E" w:rsidTr="00447BEF">
        <w:trPr>
          <w:trHeight w:val="510"/>
          <w:jc w:val="center"/>
        </w:trPr>
        <w:tc>
          <w:tcPr>
            <w:tcW w:w="1182" w:type="dxa"/>
            <w:vMerge w:val="restart"/>
            <w:tcBorders>
              <w:top w:val="nil"/>
              <w:left w:val="single" w:sz="4" w:space="0" w:color="auto"/>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组织管理</w:t>
            </w:r>
          </w:p>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（10</w:t>
            </w:r>
            <w:r>
              <w:rPr>
                <w:rFonts w:ascii="仿宋_GB2312" w:eastAsia="仿宋_GB2312" w:hAnsi="仿宋" w:cs="仿宋_GB2312" w:hint="eastAsia"/>
                <w:color w:val="000000"/>
                <w:kern w:val="0"/>
                <w:szCs w:val="21"/>
                <w:lang/>
              </w:rPr>
              <w:t>%</w:t>
            </w:r>
            <w:r>
              <w:rPr>
                <w:rFonts w:ascii="仿宋_GB2312" w:eastAsia="仿宋_GB2312" w:hAnsi="仿宋" w:cs="Times New Roman" w:hint="eastAsia"/>
                <w:color w:val="000000"/>
                <w:kern w:val="0"/>
                <w:szCs w:val="21"/>
                <w:lang/>
              </w:rPr>
              <w:t>）</w:t>
            </w: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宋体" w:hint="eastAsia"/>
                <w:color w:val="000000"/>
                <w:kern w:val="0"/>
                <w:szCs w:val="21"/>
                <w:lang/>
              </w:rPr>
              <w:t>组织体系</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重点实验室党组织建设情况，管理委员会和学术委员会组成人员范围、层次和作用的有效发挥；重点实验室内设机构对研究方向、研究内容、建设发展的支撑作用。</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7%</w:t>
            </w:r>
          </w:p>
        </w:tc>
      </w:tr>
      <w:tr w:rsidR="0082693E" w:rsidTr="00447BEF">
        <w:trPr>
          <w:trHeight w:val="411"/>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宋体" w:hint="eastAsia"/>
                <w:color w:val="000000"/>
                <w:kern w:val="0"/>
                <w:szCs w:val="21"/>
                <w:lang/>
              </w:rPr>
              <w:t>管理制度</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规章制度健全，落实到位；管理与运行的创新发展情况。</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3%</w:t>
            </w:r>
          </w:p>
        </w:tc>
      </w:tr>
      <w:tr w:rsidR="0082693E" w:rsidTr="00447BEF">
        <w:trPr>
          <w:trHeight w:val="90"/>
          <w:jc w:val="center"/>
        </w:trPr>
        <w:tc>
          <w:tcPr>
            <w:tcW w:w="1182" w:type="dxa"/>
            <w:vMerge w:val="restart"/>
            <w:tcBorders>
              <w:top w:val="nil"/>
              <w:left w:val="single" w:sz="4" w:space="0" w:color="auto"/>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研发条件</w:t>
            </w:r>
          </w:p>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w:t>
            </w:r>
            <w:r>
              <w:rPr>
                <w:rFonts w:ascii="仿宋_GB2312" w:eastAsia="仿宋_GB2312" w:hAnsi="仿宋" w:cs="仿宋_GB2312" w:hint="eastAsia"/>
                <w:color w:val="000000"/>
                <w:kern w:val="0"/>
                <w:szCs w:val="21"/>
                <w:lang/>
              </w:rPr>
              <w:t>30%</w:t>
            </w:r>
            <w:r>
              <w:rPr>
                <w:rFonts w:ascii="仿宋_GB2312" w:eastAsia="仿宋_GB2312" w:hAnsi="仿宋" w:cs="Times New Roman" w:hint="eastAsia"/>
                <w:color w:val="000000"/>
                <w:kern w:val="0"/>
                <w:szCs w:val="21"/>
                <w:lang/>
              </w:rPr>
              <w:t>）</w:t>
            </w: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宋体" w:hint="eastAsia"/>
                <w:color w:val="000000"/>
                <w:kern w:val="0"/>
                <w:szCs w:val="21"/>
                <w:lang/>
              </w:rPr>
              <w:t>人才队伍</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Times New Roman"/>
                <w:szCs w:val="21"/>
              </w:rPr>
            </w:pPr>
            <w:r>
              <w:rPr>
                <w:rFonts w:ascii="仿宋_GB2312" w:eastAsia="仿宋_GB2312" w:hAnsi="仿宋" w:cs="宋体" w:hint="eastAsia"/>
                <w:color w:val="000000"/>
                <w:kern w:val="0"/>
                <w:szCs w:val="21"/>
                <w:lang/>
              </w:rPr>
              <w:t>固定人员的结构和流动人员的作用，人才队伍发展变化的趋势；重点实验室主任及各学术带头人的学术水平、影响力和作用发挥；固定人员中新增的高层次人才，获得省级以上政府部门支持的优秀创新团队；固定人员学历、职称晋升情况和技术水平提升情况。</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10%</w:t>
            </w:r>
          </w:p>
        </w:tc>
      </w:tr>
      <w:tr w:rsidR="0082693E" w:rsidTr="00447BEF">
        <w:trPr>
          <w:trHeight w:val="543"/>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科研办公用房</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不断改善和提升，充分满足实验室科研、办公、学术交流等需要。</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5%</w:t>
            </w:r>
          </w:p>
        </w:tc>
      </w:tr>
      <w:tr w:rsidR="0082693E" w:rsidTr="00447BEF">
        <w:trPr>
          <w:trHeight w:val="527"/>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仪器设备</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适时更新和补充，科研实验功能平台完备，较好满足重点实验室科研需求和开放共享需要。</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5%</w:t>
            </w:r>
          </w:p>
        </w:tc>
      </w:tr>
      <w:tr w:rsidR="0082693E" w:rsidTr="00447BEF">
        <w:trPr>
          <w:trHeight w:val="1077"/>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Times New Roman" w:eastAsia="宋体" w:hAnsi="Times New Roman" w:cs="Times New Roman"/>
                <w:szCs w:val="21"/>
              </w:rPr>
            </w:pPr>
            <w:r>
              <w:rPr>
                <w:rFonts w:ascii="仿宋_GB2312" w:eastAsia="仿宋_GB2312" w:hAnsi="仿宋" w:cs="宋体" w:hint="eastAsia"/>
                <w:color w:val="000000"/>
                <w:kern w:val="0"/>
                <w:szCs w:val="21"/>
                <w:lang/>
              </w:rPr>
              <w:t>经费筹集</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Times New Roman"/>
                <w:szCs w:val="21"/>
              </w:rPr>
            </w:pPr>
            <w:r>
              <w:rPr>
                <w:rFonts w:ascii="仿宋_GB2312" w:eastAsia="仿宋_GB2312" w:hAnsi="仿宋" w:cs="宋体" w:hint="eastAsia"/>
                <w:color w:val="000000"/>
                <w:kern w:val="0"/>
                <w:szCs w:val="21"/>
                <w:lang/>
              </w:rPr>
              <w:t>经费筹集总额及年度变化趋势；依托单位、共建单位对重点实验室的研发投入情况；承担省级以上科研项目及经费情况；以重点实验室固定人员为项目负责人的自主科研、联合科研、受托科研情况以及设置开放课题情况。</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宋体" w:cs="仿宋_GB2312" w:hint="eastAsia"/>
                <w:color w:val="000000"/>
                <w:kern w:val="0"/>
                <w:szCs w:val="21"/>
                <w:lang/>
              </w:rPr>
              <w:t>10%</w:t>
            </w:r>
          </w:p>
        </w:tc>
      </w:tr>
      <w:tr w:rsidR="0082693E" w:rsidTr="00447BEF">
        <w:trPr>
          <w:trHeight w:val="425"/>
          <w:jc w:val="center"/>
        </w:trPr>
        <w:tc>
          <w:tcPr>
            <w:tcW w:w="1182" w:type="dxa"/>
            <w:vMerge w:val="restart"/>
            <w:tcBorders>
              <w:top w:val="nil"/>
              <w:left w:val="single" w:sz="4" w:space="0" w:color="auto"/>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成果产出（</w:t>
            </w:r>
            <w:r>
              <w:rPr>
                <w:rFonts w:ascii="仿宋_GB2312" w:eastAsia="仿宋_GB2312" w:hAnsi="仿宋" w:cs="仿宋_GB2312" w:hint="eastAsia"/>
                <w:color w:val="000000"/>
                <w:kern w:val="0"/>
                <w:szCs w:val="21"/>
                <w:lang/>
              </w:rPr>
              <w:t>40%</w:t>
            </w:r>
            <w:r>
              <w:rPr>
                <w:rFonts w:ascii="仿宋_GB2312" w:eastAsia="仿宋_GB2312" w:hAnsi="仿宋" w:cs="Times New Roman" w:hint="eastAsia"/>
                <w:color w:val="000000"/>
                <w:kern w:val="0"/>
                <w:szCs w:val="21"/>
                <w:lang/>
              </w:rPr>
              <w:t>）</w:t>
            </w: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标志性</w:t>
            </w:r>
          </w:p>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宋体" w:hint="eastAsia"/>
                <w:color w:val="000000"/>
                <w:kern w:val="0"/>
                <w:szCs w:val="21"/>
                <w:lang/>
              </w:rPr>
              <w:t>科研成果</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在重点实</w:t>
            </w:r>
            <w:r>
              <w:rPr>
                <w:rFonts w:ascii="Times New Roman" w:eastAsia="仿宋_GB2312" w:hAnsi="Times New Roman" w:cs="仿宋_GB2312" w:hint="eastAsia"/>
                <w:color w:val="000000"/>
                <w:kern w:val="0"/>
                <w:szCs w:val="21"/>
                <w:lang/>
              </w:rPr>
              <w:t>验室研究方向上，以重点实验室为基地、固定人员为</w:t>
            </w:r>
            <w:r>
              <w:rPr>
                <w:rFonts w:ascii="宋体" w:eastAsia="仿宋_GB2312" w:hAnsi="宋体" w:cs="仿宋_GB2312" w:hint="eastAsia"/>
                <w:color w:val="000000"/>
                <w:kern w:val="0"/>
                <w:szCs w:val="21"/>
                <w:lang/>
              </w:rPr>
              <w:t>核心</w:t>
            </w:r>
            <w:r>
              <w:rPr>
                <w:rFonts w:ascii="Times New Roman" w:eastAsia="仿宋_GB2312" w:hAnsi="Times New Roman" w:cs="仿宋_GB2312" w:hint="eastAsia"/>
                <w:color w:val="000000"/>
                <w:kern w:val="0"/>
                <w:szCs w:val="21"/>
                <w:lang/>
              </w:rPr>
              <w:t>产生的</w:t>
            </w:r>
            <w:r>
              <w:rPr>
                <w:rFonts w:ascii="宋体" w:eastAsia="宋体" w:hAnsi="宋体" w:cs="宋体" w:hint="eastAsia"/>
                <w:color w:val="000000"/>
                <w:kern w:val="0"/>
                <w:szCs w:val="21"/>
                <w:lang/>
              </w:rPr>
              <w:t>1-3</w:t>
            </w:r>
            <w:r>
              <w:rPr>
                <w:rFonts w:ascii="Times New Roman" w:eastAsia="仿宋_GB2312" w:hAnsi="Times New Roman" w:cs="仿宋_GB2312" w:hint="eastAsia"/>
                <w:color w:val="000000"/>
                <w:kern w:val="0"/>
                <w:szCs w:val="21"/>
                <w:lang/>
              </w:rPr>
              <w:t>项标志性重大</w:t>
            </w:r>
            <w:r>
              <w:rPr>
                <w:rFonts w:ascii="宋体" w:eastAsia="仿宋_GB2312" w:hAnsi="宋体" w:cs="仿宋_GB2312" w:hint="eastAsia"/>
                <w:color w:val="000000"/>
                <w:kern w:val="0"/>
                <w:szCs w:val="21"/>
                <w:lang/>
              </w:rPr>
              <w:t>科研</w:t>
            </w:r>
            <w:r>
              <w:rPr>
                <w:rFonts w:ascii="Times New Roman" w:eastAsia="仿宋_GB2312" w:hAnsi="Times New Roman" w:cs="仿宋_GB2312" w:hint="eastAsia"/>
                <w:color w:val="000000"/>
                <w:kern w:val="0"/>
                <w:szCs w:val="21"/>
                <w:lang/>
              </w:rPr>
              <w:t>成果。</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15%</w:t>
            </w:r>
          </w:p>
        </w:tc>
      </w:tr>
      <w:tr w:rsidR="0082693E" w:rsidTr="00447BEF">
        <w:trPr>
          <w:trHeight w:val="546"/>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代表性</w:t>
            </w:r>
          </w:p>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论文著作</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重点实验室研究方向上的代表性论文（标注重点实验室名称，不超过5篇）和专著（不超过</w:t>
            </w:r>
            <w:r>
              <w:rPr>
                <w:rFonts w:ascii="仿宋_GB2312" w:eastAsia="仿宋_GB2312" w:hAnsi="仿宋" w:cs="仿宋_GB2312" w:hint="eastAsia"/>
                <w:color w:val="000000"/>
                <w:kern w:val="0"/>
                <w:szCs w:val="21"/>
                <w:lang/>
              </w:rPr>
              <w:t>2</w:t>
            </w:r>
            <w:r>
              <w:rPr>
                <w:rFonts w:ascii="仿宋_GB2312" w:eastAsia="仿宋_GB2312" w:hAnsi="仿宋" w:cs="Times New Roman" w:hint="eastAsia"/>
                <w:color w:val="000000"/>
                <w:kern w:val="0"/>
                <w:szCs w:val="21"/>
                <w:lang/>
              </w:rPr>
              <w:t>部）的水平及行业影响力。</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10%</w:t>
            </w:r>
          </w:p>
        </w:tc>
      </w:tr>
      <w:tr w:rsidR="0082693E" w:rsidTr="00447BEF">
        <w:trPr>
          <w:trHeight w:val="525"/>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专利及其他知识产权</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申请和取得授权的专利和其他知识产权的数量和质量。</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10%</w:t>
            </w:r>
          </w:p>
        </w:tc>
      </w:tr>
      <w:tr w:rsidR="0082693E" w:rsidTr="00447BEF">
        <w:trPr>
          <w:trHeight w:val="450"/>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科技奖励</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与重点实验室研究方向相关的科学技术奖励情况及固定人员对获奖成果的贡献。</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5%</w:t>
            </w:r>
          </w:p>
        </w:tc>
      </w:tr>
      <w:tr w:rsidR="0082693E" w:rsidTr="00447BEF">
        <w:trPr>
          <w:trHeight w:val="493"/>
          <w:jc w:val="center"/>
        </w:trPr>
        <w:tc>
          <w:tcPr>
            <w:tcW w:w="1182" w:type="dxa"/>
            <w:vMerge w:val="restart"/>
            <w:tcBorders>
              <w:top w:val="nil"/>
              <w:left w:val="single" w:sz="4" w:space="0" w:color="auto"/>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社会贡献（</w:t>
            </w:r>
            <w:r>
              <w:rPr>
                <w:rFonts w:ascii="仿宋_GB2312" w:eastAsia="仿宋_GB2312" w:hAnsi="仿宋" w:cs="仿宋_GB2312" w:hint="eastAsia"/>
                <w:color w:val="000000"/>
                <w:kern w:val="0"/>
                <w:szCs w:val="21"/>
                <w:lang/>
              </w:rPr>
              <w:t>20%</w:t>
            </w:r>
            <w:r>
              <w:rPr>
                <w:rFonts w:ascii="仿宋_GB2312" w:eastAsia="仿宋_GB2312" w:hAnsi="仿宋" w:cs="Times New Roman" w:hint="eastAsia"/>
                <w:color w:val="000000"/>
                <w:kern w:val="0"/>
                <w:szCs w:val="21"/>
                <w:lang/>
              </w:rPr>
              <w:t>）</w:t>
            </w: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学科发展</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重点实验室建设对学科发展的支撑和带动作用；对依托单位科技创新和人才培养的带动作用；出站博士后和毕业的博士、硕士研究生情况；重点</w:t>
            </w:r>
            <w:r>
              <w:rPr>
                <w:rFonts w:ascii="仿宋_GB2312" w:eastAsia="仿宋_GB2312" w:hAnsi="仿宋" w:cs="宋体" w:hint="eastAsia"/>
                <w:color w:val="000000"/>
                <w:kern w:val="0"/>
                <w:szCs w:val="21"/>
                <w:lang/>
              </w:rPr>
              <w:t>实验室分支机构、人才联合培养基地和伙伴实验室建设情况。</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10%</w:t>
            </w:r>
          </w:p>
        </w:tc>
      </w:tr>
      <w:tr w:rsidR="0082693E" w:rsidTr="00447BEF">
        <w:trPr>
          <w:trHeight w:val="439"/>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技术服务</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重点实验室固定人员主动或受邀为其他单位提供的技术咨询、技术服务、技术培训情况；以转让、许可使用、共同转化、作价投资等方式转化应用的专利、技术等科技成果情况。</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5%</w:t>
            </w:r>
          </w:p>
        </w:tc>
      </w:tr>
      <w:tr w:rsidR="0082693E" w:rsidTr="00447BEF">
        <w:trPr>
          <w:trHeight w:val="330"/>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技术交流</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与国内外科研机构开展学术交流合作情况；承办或受邀参加国际性、全国性学术会议情况；重点实验室固定人员在国际、国家级学术组织和学术刊物任职情况。</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3%</w:t>
            </w:r>
          </w:p>
        </w:tc>
      </w:tr>
      <w:tr w:rsidR="0082693E" w:rsidTr="00447BEF">
        <w:trPr>
          <w:trHeight w:val="435"/>
          <w:jc w:val="center"/>
        </w:trPr>
        <w:tc>
          <w:tcPr>
            <w:tcW w:w="1182"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38"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开放共享</w:t>
            </w:r>
          </w:p>
        </w:tc>
        <w:tc>
          <w:tcPr>
            <w:tcW w:w="6100"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科研设施、科研仪器开放共享和科学技术普及情况。</w:t>
            </w:r>
          </w:p>
        </w:tc>
        <w:tc>
          <w:tcPr>
            <w:tcW w:w="721"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2%</w:t>
            </w:r>
          </w:p>
        </w:tc>
      </w:tr>
    </w:tbl>
    <w:p w:rsidR="0082693E" w:rsidRDefault="0082693E" w:rsidP="00362A8C">
      <w:pPr>
        <w:adjustRightInd w:val="0"/>
        <w:snapToGrid w:val="0"/>
        <w:spacing w:line="570" w:lineRule="exact"/>
        <w:rPr>
          <w:rFonts w:ascii="仿宋_GB2312" w:eastAsia="仿宋_GB2312"/>
          <w:snapToGrid w:val="0"/>
          <w:sz w:val="32"/>
          <w:szCs w:val="32"/>
        </w:rPr>
      </w:pPr>
    </w:p>
    <w:p w:rsidR="0082693E" w:rsidRDefault="0082693E" w:rsidP="0082693E">
      <w:pPr>
        <w:adjustRightInd w:val="0"/>
        <w:snapToGrid w:val="0"/>
        <w:rPr>
          <w:rFonts w:ascii="CESI黑体-GB2312" w:eastAsia="CESI黑体-GB2312" w:hAnsi="CESI黑体-GB2312" w:cs="CESI黑体-GB2312"/>
          <w:color w:val="000000"/>
          <w:kern w:val="0"/>
          <w:sz w:val="32"/>
          <w:szCs w:val="32"/>
          <w:lang/>
        </w:rPr>
      </w:pPr>
      <w:r>
        <w:rPr>
          <w:rFonts w:ascii="CESI黑体-GB2312" w:eastAsia="CESI黑体-GB2312" w:hAnsi="CESI黑体-GB2312" w:cs="CESI黑体-GB2312" w:hint="eastAsia"/>
          <w:color w:val="000000"/>
          <w:kern w:val="0"/>
          <w:sz w:val="32"/>
          <w:szCs w:val="32"/>
          <w:lang/>
        </w:rPr>
        <w:lastRenderedPageBreak/>
        <w:t>附件2</w:t>
      </w:r>
    </w:p>
    <w:p w:rsidR="0082693E" w:rsidRDefault="0082693E" w:rsidP="0082693E">
      <w:pPr>
        <w:adjustRightInd w:val="0"/>
        <w:snapToGrid w:val="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kern w:val="0"/>
          <w:sz w:val="44"/>
          <w:szCs w:val="44"/>
          <w:lang/>
        </w:rPr>
        <w:t>河北省企业重点实验室绩效评估指标体系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44"/>
        <w:gridCol w:w="6131"/>
        <w:gridCol w:w="725"/>
      </w:tblGrid>
      <w:tr w:rsidR="0082693E" w:rsidTr="00447BEF">
        <w:trPr>
          <w:trHeight w:val="540"/>
          <w:jc w:val="center"/>
        </w:trPr>
        <w:tc>
          <w:tcPr>
            <w:tcW w:w="1188" w:type="dxa"/>
            <w:tcBorders>
              <w:top w:val="single" w:sz="4" w:space="0" w:color="auto"/>
              <w:left w:val="single" w:sz="4" w:space="0" w:color="auto"/>
              <w:bottom w:val="single" w:sz="4" w:space="0" w:color="auto"/>
              <w:right w:val="single" w:sz="4" w:space="0" w:color="auto"/>
            </w:tcBorders>
            <w:vAlign w:val="center"/>
          </w:tcPr>
          <w:p w:rsidR="0082693E" w:rsidRDefault="0082693E" w:rsidP="00447BEF">
            <w:pPr>
              <w:snapToGrid w:val="0"/>
              <w:jc w:val="center"/>
              <w:rPr>
                <w:rFonts w:ascii="黑体" w:eastAsia="黑体" w:hAnsi="宋体" w:cs="黑体"/>
                <w:sz w:val="24"/>
                <w:szCs w:val="24"/>
              </w:rPr>
            </w:pPr>
            <w:r>
              <w:rPr>
                <w:rFonts w:ascii="黑体" w:eastAsia="黑体" w:hAnsi="宋体" w:cs="黑体"/>
                <w:color w:val="000000"/>
                <w:kern w:val="0"/>
                <w:sz w:val="24"/>
                <w:szCs w:val="24"/>
                <w:lang/>
              </w:rPr>
              <w:t>一级指标</w:t>
            </w: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黑体" w:eastAsia="黑体" w:hAnsi="宋体" w:cs="黑体"/>
                <w:sz w:val="24"/>
                <w:szCs w:val="24"/>
              </w:rPr>
            </w:pPr>
            <w:r>
              <w:rPr>
                <w:rFonts w:ascii="黑体" w:eastAsia="黑体" w:hAnsi="宋体" w:cs="黑体"/>
                <w:color w:val="000000"/>
                <w:kern w:val="0"/>
                <w:sz w:val="24"/>
                <w:szCs w:val="24"/>
                <w:lang/>
              </w:rPr>
              <w:t>二级指标</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黑体" w:eastAsia="黑体" w:hAnsi="宋体" w:cs="黑体"/>
                <w:sz w:val="24"/>
                <w:szCs w:val="24"/>
              </w:rPr>
            </w:pPr>
            <w:r>
              <w:rPr>
                <w:rFonts w:ascii="黑体" w:eastAsia="黑体" w:hAnsi="宋体" w:cs="黑体"/>
                <w:color w:val="000000"/>
                <w:kern w:val="0"/>
                <w:sz w:val="24"/>
                <w:szCs w:val="24"/>
                <w:lang/>
              </w:rPr>
              <w:t>评估要点</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黑体" w:eastAsia="黑体" w:hAnsi="宋体" w:cs="黑体"/>
                <w:sz w:val="24"/>
                <w:szCs w:val="24"/>
              </w:rPr>
            </w:pPr>
            <w:r>
              <w:rPr>
                <w:rFonts w:ascii="黑体" w:eastAsia="黑体" w:hAnsi="宋体" w:cs="黑体"/>
                <w:color w:val="000000"/>
                <w:kern w:val="0"/>
                <w:sz w:val="24"/>
                <w:szCs w:val="24"/>
                <w:lang/>
              </w:rPr>
              <w:t>权重</w:t>
            </w:r>
          </w:p>
        </w:tc>
      </w:tr>
      <w:tr w:rsidR="0082693E" w:rsidTr="00447BEF">
        <w:trPr>
          <w:trHeight w:val="510"/>
          <w:jc w:val="center"/>
        </w:trPr>
        <w:tc>
          <w:tcPr>
            <w:tcW w:w="1188" w:type="dxa"/>
            <w:vMerge w:val="restart"/>
            <w:tcBorders>
              <w:top w:val="nil"/>
              <w:left w:val="single" w:sz="4" w:space="0" w:color="auto"/>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组织管理</w:t>
            </w:r>
          </w:p>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（10</w:t>
            </w:r>
            <w:r>
              <w:rPr>
                <w:rFonts w:ascii="仿宋_GB2312" w:eastAsia="仿宋_GB2312" w:hAnsi="仿宋" w:cs="仿宋_GB2312" w:hint="eastAsia"/>
                <w:color w:val="000000"/>
                <w:kern w:val="0"/>
                <w:szCs w:val="21"/>
                <w:lang/>
              </w:rPr>
              <w:t>%</w:t>
            </w:r>
            <w:r>
              <w:rPr>
                <w:rFonts w:ascii="仿宋_GB2312" w:eastAsia="仿宋_GB2312" w:hAnsi="仿宋" w:cs="Times New Roman" w:hint="eastAsia"/>
                <w:color w:val="000000"/>
                <w:kern w:val="0"/>
                <w:szCs w:val="21"/>
                <w:lang/>
              </w:rPr>
              <w:t>）</w:t>
            </w: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宋体" w:hint="eastAsia"/>
                <w:color w:val="000000"/>
                <w:kern w:val="0"/>
                <w:szCs w:val="21"/>
                <w:lang/>
              </w:rPr>
              <w:t>组织体系</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重点实验室党组织建设情况，管理委员会和学术委员会组成人员范围、层次和作用的有效发挥；实验室内设机构对研究方向、研究内容、建设发展的支撑作用。</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7%</w:t>
            </w:r>
          </w:p>
        </w:tc>
      </w:tr>
      <w:tr w:rsidR="0082693E" w:rsidTr="00447BEF">
        <w:trPr>
          <w:trHeight w:val="411"/>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宋体" w:hint="eastAsia"/>
                <w:color w:val="000000"/>
                <w:kern w:val="0"/>
                <w:szCs w:val="21"/>
                <w:lang/>
              </w:rPr>
              <w:t>管理制度</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规章制度健全，落实到位；管理与运行的创新发展情况。</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3%</w:t>
            </w:r>
          </w:p>
        </w:tc>
      </w:tr>
      <w:tr w:rsidR="0082693E" w:rsidTr="00447BEF">
        <w:trPr>
          <w:trHeight w:val="90"/>
          <w:jc w:val="center"/>
        </w:trPr>
        <w:tc>
          <w:tcPr>
            <w:tcW w:w="1188" w:type="dxa"/>
            <w:vMerge w:val="restart"/>
            <w:tcBorders>
              <w:top w:val="nil"/>
              <w:left w:val="single" w:sz="4" w:space="0" w:color="auto"/>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研发条件</w:t>
            </w:r>
          </w:p>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w:t>
            </w:r>
            <w:r>
              <w:rPr>
                <w:rFonts w:ascii="仿宋_GB2312" w:eastAsia="仿宋_GB2312" w:hAnsi="仿宋" w:cs="仿宋_GB2312" w:hint="eastAsia"/>
                <w:color w:val="000000"/>
                <w:kern w:val="0"/>
                <w:szCs w:val="21"/>
                <w:lang/>
              </w:rPr>
              <w:t>30%</w:t>
            </w:r>
            <w:r>
              <w:rPr>
                <w:rFonts w:ascii="仿宋_GB2312" w:eastAsia="仿宋_GB2312" w:hAnsi="仿宋" w:cs="Times New Roman" w:hint="eastAsia"/>
                <w:color w:val="000000"/>
                <w:kern w:val="0"/>
                <w:szCs w:val="21"/>
                <w:lang/>
              </w:rPr>
              <w:t>）</w:t>
            </w: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宋体" w:hint="eastAsia"/>
                <w:color w:val="000000"/>
                <w:kern w:val="0"/>
                <w:szCs w:val="21"/>
                <w:lang/>
              </w:rPr>
              <w:t>人才队伍</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宋体" w:eastAsia="宋体" w:hAnsi="宋体" w:cs="宋体"/>
                <w:color w:val="000000"/>
                <w:szCs w:val="21"/>
              </w:rPr>
            </w:pPr>
            <w:r>
              <w:rPr>
                <w:rFonts w:ascii="仿宋_GB2312" w:eastAsia="仿宋_GB2312" w:hAnsi="仿宋" w:cs="宋体" w:hint="eastAsia"/>
                <w:color w:val="000000"/>
                <w:kern w:val="0"/>
                <w:szCs w:val="21"/>
                <w:lang/>
              </w:rPr>
              <w:t>固定人员的结构和流动人员的作用，人才队伍发展变化的趋势；</w:t>
            </w:r>
          </w:p>
          <w:p w:rsidR="0082693E" w:rsidRDefault="0082693E" w:rsidP="00447BEF">
            <w:pPr>
              <w:snapToGrid w:val="0"/>
              <w:rPr>
                <w:rFonts w:ascii="宋体" w:eastAsia="宋体" w:hAnsi="宋体" w:cs="宋体"/>
                <w:color w:val="000000"/>
                <w:szCs w:val="21"/>
              </w:rPr>
            </w:pPr>
            <w:r>
              <w:rPr>
                <w:rFonts w:ascii="仿宋_GB2312" w:eastAsia="仿宋_GB2312" w:hAnsi="仿宋" w:cs="宋体" w:hint="eastAsia"/>
                <w:color w:val="000000"/>
                <w:kern w:val="0"/>
                <w:szCs w:val="21"/>
                <w:lang/>
              </w:rPr>
              <w:t>重点实验室主任及各学术带头人的学术水平、影响力和作用发挥</w:t>
            </w:r>
          </w:p>
          <w:p w:rsidR="0082693E" w:rsidRDefault="0082693E" w:rsidP="00447BEF">
            <w:pPr>
              <w:snapToGrid w:val="0"/>
              <w:rPr>
                <w:rFonts w:ascii="仿宋_GB2312" w:eastAsia="仿宋_GB2312" w:hAnsi="仿宋" w:cs="Times New Roman"/>
                <w:szCs w:val="21"/>
              </w:rPr>
            </w:pPr>
            <w:r>
              <w:rPr>
                <w:rFonts w:ascii="仿宋_GB2312" w:eastAsia="仿宋_GB2312" w:hAnsi="仿宋" w:cs="宋体" w:hint="eastAsia"/>
                <w:color w:val="000000"/>
                <w:kern w:val="0"/>
                <w:szCs w:val="21"/>
                <w:lang/>
              </w:rPr>
              <w:t>；固定人员中新增的高层次人才，获得省级以上政府部门支持的优秀创新团队；固定人员学历、职称晋升情况和技术水平提升情况。</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10%</w:t>
            </w:r>
          </w:p>
        </w:tc>
      </w:tr>
      <w:tr w:rsidR="0082693E" w:rsidTr="00447BEF">
        <w:trPr>
          <w:trHeight w:val="543"/>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科研办公用房</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不断改善和提升，充分满足实验室科研、办公、学术交流等需要。</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5%</w:t>
            </w:r>
          </w:p>
        </w:tc>
      </w:tr>
      <w:tr w:rsidR="0082693E" w:rsidTr="00447BEF">
        <w:trPr>
          <w:trHeight w:val="527"/>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仪器设备</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适时更新和补充，科研实验功能平台完备，较好满足重点实验室科研需求和开放共享需要。</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5%</w:t>
            </w:r>
          </w:p>
        </w:tc>
      </w:tr>
      <w:tr w:rsidR="0082693E" w:rsidTr="00447BEF">
        <w:trPr>
          <w:trHeight w:val="1013"/>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Times New Roman" w:eastAsia="宋体" w:hAnsi="Times New Roman" w:cs="Times New Roman"/>
                <w:szCs w:val="21"/>
              </w:rPr>
            </w:pPr>
            <w:r>
              <w:rPr>
                <w:rFonts w:ascii="仿宋_GB2312" w:eastAsia="仿宋_GB2312" w:hAnsi="仿宋" w:cs="宋体" w:hint="eastAsia"/>
                <w:color w:val="000000"/>
                <w:kern w:val="0"/>
                <w:szCs w:val="21"/>
                <w:lang/>
              </w:rPr>
              <w:t>经费筹集</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Times New Roman"/>
                <w:szCs w:val="21"/>
              </w:rPr>
            </w:pPr>
            <w:r>
              <w:rPr>
                <w:rFonts w:ascii="仿宋_GB2312" w:eastAsia="仿宋_GB2312" w:hAnsi="仿宋" w:cs="宋体" w:hint="eastAsia"/>
                <w:color w:val="000000"/>
                <w:kern w:val="0"/>
                <w:szCs w:val="21"/>
                <w:lang/>
              </w:rPr>
              <w:t>经费筹集总额及年度变化趋势；依托单位对重点实验室的研发投入情况及占销售收入比例；承担省级以上科研项目及经费情况；以实验室固定人员为项目负责人的自主科研、联合科研、受托科研情况以及设置开放课题情况。</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宋体" w:cs="仿宋_GB2312" w:hint="eastAsia"/>
                <w:color w:val="000000"/>
                <w:kern w:val="0"/>
                <w:szCs w:val="21"/>
                <w:lang/>
              </w:rPr>
              <w:t>10%</w:t>
            </w:r>
          </w:p>
        </w:tc>
      </w:tr>
      <w:tr w:rsidR="0082693E" w:rsidTr="00447BEF">
        <w:trPr>
          <w:trHeight w:val="425"/>
          <w:jc w:val="center"/>
        </w:trPr>
        <w:tc>
          <w:tcPr>
            <w:tcW w:w="1188" w:type="dxa"/>
            <w:vMerge w:val="restart"/>
            <w:tcBorders>
              <w:top w:val="nil"/>
              <w:left w:val="single" w:sz="4" w:space="0" w:color="auto"/>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成果产出（</w:t>
            </w:r>
            <w:r>
              <w:rPr>
                <w:rFonts w:ascii="仿宋_GB2312" w:eastAsia="仿宋_GB2312" w:hAnsi="仿宋" w:cs="仿宋_GB2312" w:hint="eastAsia"/>
                <w:color w:val="000000"/>
                <w:kern w:val="0"/>
                <w:szCs w:val="21"/>
                <w:lang/>
              </w:rPr>
              <w:t>40%</w:t>
            </w:r>
            <w:bookmarkStart w:id="0" w:name="_GoBack"/>
            <w:bookmarkEnd w:id="0"/>
            <w:r>
              <w:rPr>
                <w:rFonts w:ascii="仿宋_GB2312" w:eastAsia="仿宋_GB2312" w:hAnsi="仿宋" w:cs="Times New Roman" w:hint="eastAsia"/>
                <w:color w:val="000000"/>
                <w:kern w:val="0"/>
                <w:szCs w:val="21"/>
                <w:lang/>
              </w:rPr>
              <w:t>）</w:t>
            </w: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标志性</w:t>
            </w:r>
          </w:p>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宋体" w:hint="eastAsia"/>
                <w:color w:val="000000"/>
                <w:kern w:val="0"/>
                <w:szCs w:val="21"/>
                <w:lang/>
              </w:rPr>
              <w:t>科研成果</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在重点实验室研究方向上，</w:t>
            </w:r>
            <w:r>
              <w:rPr>
                <w:rFonts w:ascii="Times New Roman" w:eastAsia="仿宋_GB2312" w:hAnsi="Times New Roman" w:cs="仿宋_GB2312" w:hint="eastAsia"/>
                <w:color w:val="000000"/>
                <w:kern w:val="0"/>
                <w:szCs w:val="21"/>
                <w:lang/>
              </w:rPr>
              <w:t>以重点实验室为基地、固定人员为</w:t>
            </w:r>
            <w:r>
              <w:rPr>
                <w:rFonts w:ascii="宋体" w:eastAsia="仿宋_GB2312" w:hAnsi="宋体" w:cs="仿宋_GB2312" w:hint="eastAsia"/>
                <w:color w:val="000000"/>
                <w:kern w:val="0"/>
                <w:szCs w:val="21"/>
                <w:lang/>
              </w:rPr>
              <w:t>核心</w:t>
            </w:r>
            <w:r>
              <w:rPr>
                <w:rFonts w:ascii="Times New Roman" w:eastAsia="仿宋_GB2312" w:hAnsi="Times New Roman" w:cs="仿宋_GB2312" w:hint="eastAsia"/>
                <w:color w:val="000000"/>
                <w:kern w:val="0"/>
                <w:szCs w:val="21"/>
                <w:lang/>
              </w:rPr>
              <w:t>产生的</w:t>
            </w:r>
            <w:r>
              <w:rPr>
                <w:rFonts w:ascii="宋体" w:eastAsia="宋体" w:hAnsi="宋体" w:cs="宋体" w:hint="eastAsia"/>
                <w:color w:val="000000"/>
                <w:kern w:val="0"/>
                <w:szCs w:val="21"/>
                <w:lang/>
              </w:rPr>
              <w:t>1-3</w:t>
            </w:r>
            <w:r>
              <w:rPr>
                <w:rFonts w:ascii="Times New Roman" w:eastAsia="仿宋_GB2312" w:hAnsi="Times New Roman" w:cs="仿宋_GB2312" w:hint="eastAsia"/>
                <w:color w:val="000000"/>
                <w:kern w:val="0"/>
                <w:szCs w:val="21"/>
                <w:lang/>
              </w:rPr>
              <w:t>项标志性重大</w:t>
            </w:r>
            <w:r>
              <w:rPr>
                <w:rFonts w:ascii="宋体" w:eastAsia="仿宋_GB2312" w:hAnsi="宋体" w:cs="仿宋_GB2312" w:hint="eastAsia"/>
                <w:color w:val="000000"/>
                <w:kern w:val="0"/>
                <w:szCs w:val="21"/>
                <w:lang/>
              </w:rPr>
              <w:t>科研</w:t>
            </w:r>
            <w:r>
              <w:rPr>
                <w:rFonts w:ascii="Times New Roman" w:eastAsia="仿宋_GB2312" w:hAnsi="Times New Roman" w:cs="仿宋_GB2312" w:hint="eastAsia"/>
                <w:color w:val="000000"/>
                <w:kern w:val="0"/>
                <w:szCs w:val="21"/>
                <w:lang/>
              </w:rPr>
              <w:t>成果。</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15%</w:t>
            </w:r>
          </w:p>
        </w:tc>
      </w:tr>
      <w:tr w:rsidR="0082693E" w:rsidTr="00447BEF">
        <w:trPr>
          <w:trHeight w:val="794"/>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代表性</w:t>
            </w:r>
          </w:p>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论文著作</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重点实验室研究方向上的代表性论文（标注重点实验室名称，不超过</w:t>
            </w:r>
            <w:r>
              <w:rPr>
                <w:rFonts w:ascii="仿宋_GB2312" w:eastAsia="仿宋_GB2312" w:hAnsi="仿宋" w:cs="仿宋_GB2312" w:hint="eastAsia"/>
                <w:color w:val="000000"/>
                <w:kern w:val="0"/>
                <w:szCs w:val="21"/>
                <w:lang/>
              </w:rPr>
              <w:t>3</w:t>
            </w:r>
            <w:r>
              <w:rPr>
                <w:rFonts w:ascii="仿宋_GB2312" w:eastAsia="仿宋_GB2312" w:hAnsi="仿宋" w:cs="Times New Roman" w:hint="eastAsia"/>
                <w:color w:val="000000"/>
                <w:kern w:val="0"/>
                <w:szCs w:val="21"/>
                <w:lang/>
              </w:rPr>
              <w:t>篇）和专著（不超过</w:t>
            </w:r>
            <w:r>
              <w:rPr>
                <w:rFonts w:ascii="仿宋_GB2312" w:eastAsia="仿宋_GB2312" w:hAnsi="仿宋" w:cs="仿宋_GB2312" w:hint="eastAsia"/>
                <w:color w:val="000000"/>
                <w:kern w:val="0"/>
                <w:szCs w:val="21"/>
                <w:lang/>
              </w:rPr>
              <w:t>1</w:t>
            </w:r>
            <w:r>
              <w:rPr>
                <w:rFonts w:ascii="仿宋_GB2312" w:eastAsia="仿宋_GB2312" w:hAnsi="仿宋" w:cs="Times New Roman" w:hint="eastAsia"/>
                <w:color w:val="000000"/>
                <w:kern w:val="0"/>
                <w:szCs w:val="21"/>
                <w:lang/>
              </w:rPr>
              <w:t>部）的水平及行业影响力。</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5%</w:t>
            </w:r>
          </w:p>
        </w:tc>
      </w:tr>
      <w:tr w:rsidR="0082693E" w:rsidTr="00447BEF">
        <w:trPr>
          <w:trHeight w:val="525"/>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专利及其他知识产权</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申请和取得的授权专利，牵头或参与</w:t>
            </w:r>
            <w:r>
              <w:rPr>
                <w:rFonts w:ascii="Times New Roman" w:eastAsia="仿宋_GB2312" w:hAnsi="Times New Roman" w:cs="仿宋_GB2312" w:hint="eastAsia"/>
                <w:color w:val="000000"/>
                <w:kern w:val="0"/>
                <w:szCs w:val="21"/>
                <w:lang/>
              </w:rPr>
              <w:t>制定的国际、国家及行业标准</w:t>
            </w:r>
            <w:r>
              <w:rPr>
                <w:rFonts w:ascii="宋体" w:eastAsia="仿宋_GB2312" w:hAnsi="宋体" w:cs="仿宋_GB2312" w:hint="eastAsia"/>
                <w:color w:val="000000"/>
                <w:kern w:val="0"/>
                <w:szCs w:val="21"/>
                <w:lang/>
              </w:rPr>
              <w:t>；以及</w:t>
            </w:r>
            <w:r>
              <w:rPr>
                <w:rFonts w:ascii="仿宋_GB2312" w:eastAsia="仿宋_GB2312" w:hAnsi="仿宋" w:cs="宋体" w:hint="eastAsia"/>
                <w:color w:val="000000"/>
                <w:kern w:val="0"/>
                <w:szCs w:val="21"/>
                <w:lang/>
              </w:rPr>
              <w:t>其他知识产权的数量和质量。</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15%</w:t>
            </w:r>
          </w:p>
        </w:tc>
      </w:tr>
      <w:tr w:rsidR="0082693E" w:rsidTr="00447BEF">
        <w:trPr>
          <w:trHeight w:val="450"/>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宋体" w:hint="eastAsia"/>
                <w:color w:val="000000"/>
                <w:kern w:val="0"/>
                <w:szCs w:val="21"/>
                <w:lang/>
              </w:rPr>
              <w:t>科技奖励</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snapToGrid w:val="0"/>
              <w:rPr>
                <w:rFonts w:ascii="仿宋_GB2312" w:eastAsia="仿宋_GB2312" w:hAnsi="仿宋" w:cs="宋体"/>
                <w:szCs w:val="21"/>
              </w:rPr>
            </w:pPr>
            <w:r>
              <w:rPr>
                <w:rFonts w:ascii="仿宋_GB2312" w:eastAsia="仿宋_GB2312" w:hAnsi="仿宋" w:cs="宋体" w:hint="eastAsia"/>
                <w:color w:val="000000"/>
                <w:kern w:val="0"/>
                <w:szCs w:val="21"/>
                <w:lang/>
              </w:rPr>
              <w:t>与重点实验室研发方向相关的科学技术奖励情况及固定人员对获奖成果的贡献。</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宋体"/>
                <w:szCs w:val="21"/>
              </w:rPr>
            </w:pPr>
            <w:r>
              <w:rPr>
                <w:rFonts w:ascii="仿宋_GB2312" w:eastAsia="仿宋_GB2312" w:hAnsi="仿宋" w:cs="仿宋_GB2312" w:hint="eastAsia"/>
                <w:color w:val="000000"/>
                <w:kern w:val="0"/>
                <w:szCs w:val="21"/>
                <w:lang/>
              </w:rPr>
              <w:t>5%</w:t>
            </w:r>
          </w:p>
        </w:tc>
      </w:tr>
      <w:tr w:rsidR="0082693E" w:rsidTr="00447BEF">
        <w:trPr>
          <w:trHeight w:val="493"/>
          <w:jc w:val="center"/>
        </w:trPr>
        <w:tc>
          <w:tcPr>
            <w:tcW w:w="1188" w:type="dxa"/>
            <w:vMerge w:val="restart"/>
            <w:tcBorders>
              <w:top w:val="nil"/>
              <w:left w:val="single" w:sz="4" w:space="0" w:color="auto"/>
              <w:bottom w:val="single" w:sz="4" w:space="0" w:color="auto"/>
              <w:right w:val="single" w:sz="4" w:space="0" w:color="auto"/>
            </w:tcBorders>
            <w:vAlign w:val="center"/>
          </w:tcPr>
          <w:p w:rsidR="0082693E" w:rsidRDefault="0082693E" w:rsidP="00447BEF">
            <w:pPr>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社会贡献（</w:t>
            </w:r>
            <w:r>
              <w:rPr>
                <w:rFonts w:ascii="仿宋_GB2312" w:eastAsia="仿宋_GB2312" w:hAnsi="仿宋" w:cs="仿宋_GB2312" w:hint="eastAsia"/>
                <w:color w:val="000000"/>
                <w:kern w:val="0"/>
                <w:szCs w:val="21"/>
                <w:lang/>
              </w:rPr>
              <w:t>20%</w:t>
            </w:r>
            <w:r>
              <w:rPr>
                <w:rFonts w:ascii="仿宋_GB2312" w:eastAsia="仿宋_GB2312" w:hAnsi="仿宋" w:cs="Times New Roman" w:hint="eastAsia"/>
                <w:color w:val="000000"/>
                <w:kern w:val="0"/>
                <w:szCs w:val="21"/>
                <w:lang/>
              </w:rPr>
              <w:t>）</w:t>
            </w: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产业支撑</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重点实验室建设对产业发展的支撑和带动作用；对依托单位科技创新和人才培养的带动作用；</w:t>
            </w:r>
            <w:r>
              <w:rPr>
                <w:rFonts w:ascii="仿宋_GB2312" w:eastAsia="仿宋_GB2312" w:hAnsi="仿宋" w:cs="宋体" w:hint="eastAsia"/>
                <w:color w:val="000000"/>
                <w:kern w:val="0"/>
                <w:szCs w:val="21"/>
                <w:lang/>
              </w:rPr>
              <w:t>实验室分支机构、人才联合培养基地和伙伴实验室建设情况。</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5%</w:t>
            </w:r>
          </w:p>
        </w:tc>
      </w:tr>
      <w:tr w:rsidR="0082693E" w:rsidTr="00447BEF">
        <w:trPr>
          <w:trHeight w:val="439"/>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技术服务</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重点实验室固定人员主动或受邀为其他单位提供的技术咨询、技术服务、技术培训的情况；</w:t>
            </w:r>
            <w:r>
              <w:rPr>
                <w:rFonts w:ascii="Times New Roman" w:eastAsia="仿宋_GB2312" w:hAnsi="Times New Roman" w:cs="仿宋_GB2312" w:hint="eastAsia"/>
                <w:color w:val="000000"/>
                <w:kern w:val="0"/>
                <w:szCs w:val="21"/>
                <w:lang/>
              </w:rPr>
              <w:t>技术成果转让情况，以及为政府科技及相关产业发展规划提供咨询和决策服务情况</w:t>
            </w:r>
            <w:r>
              <w:rPr>
                <w:rFonts w:ascii="宋体" w:eastAsia="仿宋_GB2312" w:hAnsi="宋体" w:cs="仿宋_GB2312" w:hint="eastAsia"/>
                <w:color w:val="000000"/>
                <w:kern w:val="0"/>
                <w:szCs w:val="21"/>
                <w:lang/>
              </w:rPr>
              <w:t>。</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10%</w:t>
            </w:r>
          </w:p>
        </w:tc>
      </w:tr>
      <w:tr w:rsidR="0082693E" w:rsidTr="00447BEF">
        <w:trPr>
          <w:trHeight w:val="330"/>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技术交流</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与国内外科研机构开展学术交流合作情况；承办或受邀参加国际性、全国性学术会议情况；重点实验室固定人员在国际、国家级学术组织和学术刊物任职情况。</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3%</w:t>
            </w:r>
          </w:p>
        </w:tc>
      </w:tr>
      <w:tr w:rsidR="0082693E" w:rsidTr="00447BEF">
        <w:trPr>
          <w:trHeight w:val="435"/>
          <w:jc w:val="center"/>
        </w:trPr>
        <w:tc>
          <w:tcPr>
            <w:tcW w:w="1188" w:type="dxa"/>
            <w:vMerge/>
            <w:tcBorders>
              <w:top w:val="nil"/>
              <w:left w:val="single" w:sz="4" w:space="0" w:color="auto"/>
              <w:bottom w:val="single" w:sz="4" w:space="0" w:color="auto"/>
              <w:right w:val="single" w:sz="4" w:space="0" w:color="auto"/>
            </w:tcBorders>
            <w:vAlign w:val="center"/>
          </w:tcPr>
          <w:p w:rsidR="0082693E" w:rsidRDefault="0082693E" w:rsidP="00447BEF">
            <w:pPr>
              <w:rPr>
                <w:rFonts w:ascii="Times New Roman" w:hAnsi="Times New Roman" w:cs="Times New Roman"/>
                <w:sz w:val="20"/>
                <w:szCs w:val="20"/>
              </w:rPr>
            </w:pPr>
          </w:p>
        </w:tc>
        <w:tc>
          <w:tcPr>
            <w:tcW w:w="1244"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Times New Roman" w:hint="eastAsia"/>
                <w:color w:val="000000"/>
                <w:kern w:val="0"/>
                <w:szCs w:val="21"/>
                <w:lang/>
              </w:rPr>
              <w:t>开放共享</w:t>
            </w:r>
          </w:p>
        </w:tc>
        <w:tc>
          <w:tcPr>
            <w:tcW w:w="6131"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rPr>
                <w:rFonts w:ascii="仿宋_GB2312" w:eastAsia="仿宋_GB2312" w:hAnsi="仿宋" w:cs="Times New Roman"/>
                <w:szCs w:val="21"/>
              </w:rPr>
            </w:pPr>
            <w:r>
              <w:rPr>
                <w:rFonts w:ascii="仿宋_GB2312" w:eastAsia="仿宋_GB2312" w:hAnsi="仿宋" w:cs="Times New Roman" w:hint="eastAsia"/>
                <w:color w:val="000000"/>
                <w:kern w:val="0"/>
                <w:szCs w:val="21"/>
                <w:lang/>
              </w:rPr>
              <w:t>科研设施、科研仪器开放共享和科学技术普及情况。</w:t>
            </w:r>
          </w:p>
        </w:tc>
        <w:tc>
          <w:tcPr>
            <w:tcW w:w="725" w:type="dxa"/>
            <w:tcBorders>
              <w:top w:val="single" w:sz="4" w:space="0" w:color="auto"/>
              <w:left w:val="nil"/>
              <w:bottom w:val="single" w:sz="4" w:space="0" w:color="auto"/>
              <w:right w:val="single" w:sz="4" w:space="0" w:color="auto"/>
            </w:tcBorders>
            <w:vAlign w:val="center"/>
          </w:tcPr>
          <w:p w:rsidR="0082693E" w:rsidRDefault="0082693E" w:rsidP="00447BEF">
            <w:pPr>
              <w:widowControl/>
              <w:snapToGrid w:val="0"/>
              <w:jc w:val="center"/>
              <w:rPr>
                <w:rFonts w:ascii="仿宋_GB2312" w:eastAsia="仿宋_GB2312" w:hAnsi="仿宋" w:cs="Times New Roman"/>
                <w:szCs w:val="21"/>
              </w:rPr>
            </w:pPr>
            <w:r>
              <w:rPr>
                <w:rFonts w:ascii="仿宋_GB2312" w:eastAsia="仿宋_GB2312" w:hAnsi="仿宋" w:cs="仿宋_GB2312" w:hint="eastAsia"/>
                <w:color w:val="000000"/>
                <w:kern w:val="0"/>
                <w:szCs w:val="21"/>
                <w:lang/>
              </w:rPr>
              <w:t>2%</w:t>
            </w:r>
          </w:p>
        </w:tc>
      </w:tr>
    </w:tbl>
    <w:p w:rsidR="0082693E" w:rsidRPr="00362A8C" w:rsidRDefault="0082693E" w:rsidP="0082693E">
      <w:pPr>
        <w:adjustRightInd w:val="0"/>
        <w:snapToGrid w:val="0"/>
        <w:spacing w:line="570" w:lineRule="exact"/>
        <w:rPr>
          <w:rFonts w:ascii="仿宋_GB2312" w:eastAsia="仿宋_GB2312"/>
          <w:snapToGrid w:val="0"/>
          <w:sz w:val="32"/>
          <w:szCs w:val="32"/>
        </w:rPr>
      </w:pPr>
    </w:p>
    <w:sectPr w:rsidR="0082693E" w:rsidRPr="00362A8C" w:rsidSect="00362A8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175" w:rsidRPr="009D19DB" w:rsidRDefault="00047175" w:rsidP="00087178">
      <w:pPr>
        <w:rPr>
          <w:rFonts w:ascii="Times New Roman" w:eastAsia="Times New Roman" w:hAnsi="Times New Roman" w:cs="Times New Roman"/>
          <w:b/>
          <w:kern w:val="0"/>
          <w:sz w:val="24"/>
          <w:lang w:eastAsia="en-US"/>
        </w:rPr>
      </w:pPr>
      <w:r>
        <w:separator/>
      </w:r>
    </w:p>
  </w:endnote>
  <w:endnote w:type="continuationSeparator" w:id="0">
    <w:p w:rsidR="00047175" w:rsidRPr="009D19DB" w:rsidRDefault="00047175" w:rsidP="00087178">
      <w:pPr>
        <w:rPr>
          <w:rFonts w:ascii="Times New Roman" w:eastAsia="Times New Roman" w:hAnsi="Times New Roman" w:cs="Times New Roman"/>
          <w:b/>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SI黑体-GB2312">
    <w:altName w:val="黑体"/>
    <w:charset w:val="86"/>
    <w:family w:val="auto"/>
    <w:pitch w:val="default"/>
    <w:sig w:usb0="800002BF" w:usb1="184F6CF8" w:usb2="00000012"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175" w:rsidRPr="009D19DB" w:rsidRDefault="00047175" w:rsidP="00087178">
      <w:pPr>
        <w:rPr>
          <w:rFonts w:ascii="Times New Roman" w:eastAsia="Times New Roman" w:hAnsi="Times New Roman" w:cs="Times New Roman"/>
          <w:b/>
          <w:kern w:val="0"/>
          <w:sz w:val="24"/>
          <w:lang w:eastAsia="en-US"/>
        </w:rPr>
      </w:pPr>
      <w:r>
        <w:separator/>
      </w:r>
    </w:p>
  </w:footnote>
  <w:footnote w:type="continuationSeparator" w:id="0">
    <w:p w:rsidR="00047175" w:rsidRPr="009D19DB" w:rsidRDefault="00047175" w:rsidP="00087178">
      <w:pPr>
        <w:rPr>
          <w:rFonts w:ascii="Times New Roman" w:eastAsia="Times New Roman" w:hAnsi="Times New Roman" w:cs="Times New Roman"/>
          <w:b/>
          <w:kern w:val="0"/>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A8C"/>
    <w:rsid w:val="00047175"/>
    <w:rsid w:val="00087178"/>
    <w:rsid w:val="00360DAB"/>
    <w:rsid w:val="00362A8C"/>
    <w:rsid w:val="0082693E"/>
    <w:rsid w:val="008570A2"/>
    <w:rsid w:val="00895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A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2A8C"/>
    <w:rPr>
      <w:b/>
      <w:bCs/>
    </w:rPr>
  </w:style>
  <w:style w:type="paragraph" w:styleId="a5">
    <w:name w:val="List Paragraph"/>
    <w:basedOn w:val="a"/>
    <w:uiPriority w:val="34"/>
    <w:qFormat/>
    <w:rsid w:val="00362A8C"/>
    <w:pPr>
      <w:ind w:firstLineChars="200" w:firstLine="420"/>
    </w:pPr>
  </w:style>
  <w:style w:type="paragraph" w:customStyle="1" w:styleId="Style4">
    <w:name w:val="_Style 4"/>
    <w:basedOn w:val="a"/>
    <w:rsid w:val="0082693E"/>
    <w:pPr>
      <w:widowControl/>
      <w:spacing w:after="160" w:line="240" w:lineRule="exact"/>
      <w:jc w:val="left"/>
    </w:pPr>
    <w:rPr>
      <w:rFonts w:ascii="仿宋_GB2312" w:eastAsia="仿宋_GB2312" w:hAnsi="Times New Roman" w:cs="Times New Roman"/>
      <w:spacing w:val="-4"/>
      <w:sz w:val="32"/>
      <w:szCs w:val="20"/>
    </w:rPr>
  </w:style>
  <w:style w:type="character" w:styleId="a6">
    <w:name w:val="Hyperlink"/>
    <w:basedOn w:val="a0"/>
    <w:uiPriority w:val="99"/>
    <w:semiHidden/>
    <w:unhideWhenUsed/>
    <w:rsid w:val="008959F8"/>
    <w:rPr>
      <w:color w:val="0000FF"/>
      <w:u w:val="single"/>
    </w:rPr>
  </w:style>
  <w:style w:type="paragraph" w:styleId="a7">
    <w:name w:val="header"/>
    <w:basedOn w:val="a"/>
    <w:link w:val="Char"/>
    <w:uiPriority w:val="99"/>
    <w:semiHidden/>
    <w:unhideWhenUsed/>
    <w:rsid w:val="00087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087178"/>
    <w:rPr>
      <w:sz w:val="18"/>
      <w:szCs w:val="18"/>
    </w:rPr>
  </w:style>
  <w:style w:type="paragraph" w:styleId="a8">
    <w:name w:val="footer"/>
    <w:basedOn w:val="a"/>
    <w:link w:val="Char0"/>
    <w:uiPriority w:val="99"/>
    <w:semiHidden/>
    <w:unhideWhenUsed/>
    <w:rsid w:val="00087178"/>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0871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A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2A8C"/>
    <w:rPr>
      <w:b/>
      <w:bCs/>
    </w:rPr>
  </w:style>
  <w:style w:type="paragraph" w:styleId="a5">
    <w:name w:val="List Paragraph"/>
    <w:basedOn w:val="a"/>
    <w:uiPriority w:val="34"/>
    <w:qFormat/>
    <w:rsid w:val="00362A8C"/>
    <w:pPr>
      <w:ind w:firstLineChars="200" w:firstLine="420"/>
    </w:pPr>
  </w:style>
  <w:style w:type="paragraph" w:customStyle="1" w:styleId="Style4">
    <w:name w:val="_Style 4"/>
    <w:basedOn w:val="a"/>
    <w:rsid w:val="0082693E"/>
    <w:pPr>
      <w:widowControl/>
      <w:spacing w:after="160" w:line="240" w:lineRule="exact"/>
      <w:jc w:val="left"/>
    </w:pPr>
    <w:rPr>
      <w:rFonts w:ascii="仿宋_GB2312" w:eastAsia="仿宋_GB2312" w:hAnsi="Times New Roman" w:cs="Times New Roman"/>
      <w:spacing w:val="-4"/>
      <w:sz w:val="32"/>
      <w:szCs w:val="20"/>
    </w:rPr>
  </w:style>
  <w:style w:type="character" w:styleId="a6">
    <w:name w:val="Hyperlink"/>
    <w:basedOn w:val="a0"/>
    <w:uiPriority w:val="99"/>
    <w:semiHidden/>
    <w:unhideWhenUsed/>
    <w:rsid w:val="008959F8"/>
    <w:rPr>
      <w:color w:val="0000FF"/>
      <w:u w:val="single"/>
    </w:rPr>
  </w:style>
</w:styles>
</file>

<file path=word/webSettings.xml><?xml version="1.0" encoding="utf-8"?>
<w:webSettings xmlns:r="http://schemas.openxmlformats.org/officeDocument/2006/relationships" xmlns:w="http://schemas.openxmlformats.org/wordprocessingml/2006/main">
  <w:divs>
    <w:div w:id="362903122">
      <w:bodyDiv w:val="1"/>
      <w:marLeft w:val="0"/>
      <w:marRight w:val="0"/>
      <w:marTop w:val="0"/>
      <w:marBottom w:val="0"/>
      <w:divBdr>
        <w:top w:val="none" w:sz="0" w:space="0" w:color="auto"/>
        <w:left w:val="none" w:sz="0" w:space="0" w:color="auto"/>
        <w:bottom w:val="none" w:sz="0" w:space="0" w:color="auto"/>
        <w:right w:val="none" w:sz="0" w:space="0" w:color="auto"/>
      </w:divBdr>
    </w:div>
    <w:div w:id="887911867">
      <w:bodyDiv w:val="1"/>
      <w:marLeft w:val="0"/>
      <w:marRight w:val="0"/>
      <w:marTop w:val="0"/>
      <w:marBottom w:val="0"/>
      <w:divBdr>
        <w:top w:val="none" w:sz="0" w:space="0" w:color="auto"/>
        <w:left w:val="none" w:sz="0" w:space="0" w:color="auto"/>
        <w:bottom w:val="none" w:sz="0" w:space="0" w:color="auto"/>
        <w:right w:val="none" w:sz="0" w:space="0" w:color="auto"/>
      </w:divBdr>
    </w:div>
    <w:div w:id="1478375647">
      <w:bodyDiv w:val="1"/>
      <w:marLeft w:val="0"/>
      <w:marRight w:val="0"/>
      <w:marTop w:val="0"/>
      <w:marBottom w:val="0"/>
      <w:divBdr>
        <w:top w:val="none" w:sz="0" w:space="0" w:color="auto"/>
        <w:left w:val="none" w:sz="0" w:space="0" w:color="auto"/>
        <w:bottom w:val="none" w:sz="0" w:space="0" w:color="auto"/>
        <w:right w:val="none" w:sz="0" w:space="0" w:color="auto"/>
      </w:divBdr>
    </w:div>
    <w:div w:id="19519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jt.hebei.gov.cn/www/xwzx15/tzgg35/sttz15/276489/202301051511145856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hebei.gov.cn/www/xwzx15/tzgg35/sttz15/276489/2023010515111064784.docx"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1178</Words>
  <Characters>6717</Characters>
  <Application>Microsoft Office Word</Application>
  <DocSecurity>0</DocSecurity>
  <Lines>55</Lines>
  <Paragraphs>15</Paragraphs>
  <ScaleCrop>false</ScaleCrop>
  <Company>Microsoft</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tssptc@126.com</cp:lastModifiedBy>
  <cp:revision>4</cp:revision>
  <dcterms:created xsi:type="dcterms:W3CDTF">2023-01-08T01:51:00Z</dcterms:created>
  <dcterms:modified xsi:type="dcterms:W3CDTF">2023-07-28T09:22:00Z</dcterms:modified>
</cp:coreProperties>
</file>