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65F7D">
      <w:pPr>
        <w:jc w:val="both"/>
        <w:rPr>
          <w:rFonts w:hint="eastAsia" w:ascii="宋体" w:hAnsi="宋体" w:eastAsia="宋体" w:cs="宋体"/>
          <w:b/>
          <w:bCs/>
          <w:sz w:val="44"/>
          <w:szCs w:val="44"/>
          <w:lang w:eastAsia="zh-CN"/>
        </w:rPr>
      </w:pPr>
      <w:bookmarkStart w:id="0" w:name="_GoBack"/>
      <w:bookmarkEnd w:id="0"/>
    </w:p>
    <w:p w14:paraId="1D4E5B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唐山市科学技术局</w:t>
      </w:r>
    </w:p>
    <w:p w14:paraId="45999039">
      <w:pPr>
        <w:ind w:firstLine="1600" w:firstLineChars="400"/>
        <w:rPr>
          <w:rFonts w:hint="eastAsia" w:ascii="宋体" w:hAnsi="宋体" w:eastAsia="宋体" w:cs="宋体"/>
          <w:b/>
          <w:bCs/>
          <w:sz w:val="44"/>
          <w:szCs w:val="44"/>
          <w:lang w:eastAsia="zh-CN"/>
        </w:rPr>
      </w:pPr>
      <w:r>
        <w:rPr>
          <w:rFonts w:hint="eastAsia" w:ascii="方正小标宋简体" w:hAnsi="方正小标宋简体" w:eastAsia="方正小标宋简体" w:cs="方正小标宋简体"/>
          <w:b w:val="0"/>
          <w:bCs w:val="0"/>
          <w:sz w:val="40"/>
          <w:szCs w:val="40"/>
          <w:lang w:val="en-US" w:eastAsia="zh-CN"/>
        </w:rPr>
        <w:t>2024年度</w:t>
      </w:r>
      <w:r>
        <w:rPr>
          <w:rFonts w:hint="eastAsia" w:ascii="方正小标宋简体" w:hAnsi="方正小标宋简体" w:eastAsia="方正小标宋简体" w:cs="方正小标宋简体"/>
          <w:b w:val="0"/>
          <w:bCs w:val="0"/>
          <w:sz w:val="40"/>
          <w:szCs w:val="40"/>
        </w:rPr>
        <w:t>法治政府建设</w:t>
      </w:r>
      <w:r>
        <w:rPr>
          <w:rFonts w:hint="eastAsia" w:ascii="方正小标宋简体" w:hAnsi="方正小标宋简体" w:eastAsia="方正小标宋简体" w:cs="方正小标宋简体"/>
          <w:b w:val="0"/>
          <w:bCs w:val="0"/>
          <w:sz w:val="40"/>
          <w:szCs w:val="40"/>
          <w:lang w:eastAsia="zh-CN"/>
        </w:rPr>
        <w:t>工作报告</w:t>
      </w:r>
    </w:p>
    <w:p w14:paraId="2CF51DF9">
      <w:pPr>
        <w:keepNext w:val="0"/>
        <w:keepLines w:val="0"/>
        <w:pageBreakBefore w:val="0"/>
        <w:widowControl w:val="0"/>
        <w:kinsoku/>
        <w:wordWrap/>
        <w:overflowPunct/>
        <w:topLinePunct w:val="0"/>
        <w:autoSpaceDE/>
        <w:autoSpaceDN/>
        <w:bidi w:val="0"/>
        <w:adjustRightInd/>
        <w:snapToGrid/>
        <w:spacing w:line="570" w:lineRule="exact"/>
        <w:ind w:firstLine="1104" w:firstLineChars="250"/>
        <w:textAlignment w:val="auto"/>
        <w:rPr>
          <w:rFonts w:hint="eastAsia" w:ascii="宋体" w:hAnsi="宋体" w:eastAsia="宋体" w:cs="宋体"/>
          <w:b/>
          <w:bCs/>
          <w:sz w:val="44"/>
          <w:szCs w:val="44"/>
          <w:lang w:eastAsia="zh-CN"/>
        </w:rPr>
      </w:pPr>
    </w:p>
    <w:p w14:paraId="4B61142D">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sz w:val="32"/>
          <w:szCs w:val="32"/>
          <w:lang w:val="en-US" w:eastAsia="zh-CN"/>
        </w:rPr>
        <w:t>2024年，在市委、市政府的领导下，市科技局以习近平新时代中国特色社会主义思想为指导，全面贯彻党的二十大精神，紧密结合实际工作，按照《唐山市法治政府建设实施方案（2021-2025年）》</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（唐传〔2022〕10号）的任务分工</w:t>
      </w:r>
      <w:r>
        <w:rPr>
          <w:rFonts w:hint="eastAsia" w:ascii="方正仿宋_GBK" w:hAnsi="方正仿宋_GBK" w:eastAsia="方正仿宋_GBK" w:cs="方正仿宋_GBK"/>
          <w:sz w:val="32"/>
          <w:szCs w:val="32"/>
          <w:lang w:val="en-US" w:eastAsia="zh-CN"/>
        </w:rPr>
        <w:t>，坚持法制宣传和法治实践相结合，以依法行政为核心，以普法教育为先导，以制度建设为保障，着力加强单位法治制度建设、依法行政能力建设、依法行政工作机制建设，依法开展各项工作，进一步促进了科技系统法治政府建设</w:t>
      </w:r>
      <w:r>
        <w:rPr>
          <w:rFonts w:hint="eastAsia" w:ascii="方正仿宋_GBK" w:hAnsi="方正仿宋_GBK" w:eastAsia="方正仿宋_GBK" w:cs="方正仿宋_GBK"/>
          <w:sz w:val="32"/>
          <w:szCs w:val="32"/>
          <w:lang w:eastAsia="zh-CN"/>
        </w:rPr>
        <w:t>，为我市科技创新的持续发展营造了良好的氛围。</w:t>
      </w:r>
    </w:p>
    <w:p w14:paraId="5EE7E40A">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14:paraId="0D6665F4">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（一）加强组织领导，落实法治政府建设主体责任</w:t>
      </w:r>
    </w:p>
    <w:p w14:paraId="63B49112">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局高度重视法治政府建设工作，把法治政府建设工作作为事关全局发展的重要任务来抓。局主要领导认真履行推进法治建设第一责任人职责，成立了以党组书记、局长为双组长，班子成员为副组长，各处室负责人为成员的工作小组，形成主要领导全面抓、分管领导具体抓、其他领导配合抓的齐抓共管工作格局。坚持“谁用法、谁普法、谁学法”原则，制定印发了《2024年度领导干部及机关人员学法计划》，多次在全体机关干部大会上组织《宪法》、《民法典》、《中华人民共和国科学技术进步法（2021年修订）》等法律法规内容的学习，不断提升全体机关工作人员的依法行政意识和依法服务能力。</w:t>
      </w:r>
    </w:p>
    <w:p w14:paraId="2F684D1E">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（二）持续推进行政决策科学化法制化，加强规范性文件管理</w:t>
      </w:r>
    </w:p>
    <w:p w14:paraId="50590296">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仿宋" w:eastAsia="仿宋_GB2312"/>
          <w:b/>
          <w:bCs/>
          <w:sz w:val="32"/>
          <w:szCs w:val="32"/>
          <w:lang w:val="en-US" w:eastAsia="zh-CN"/>
        </w:rPr>
        <w:t>一是</w:t>
      </w:r>
      <w:r>
        <w:rPr>
          <w:rFonts w:hint="eastAsia" w:ascii="方正仿宋_GBK" w:hAnsi="方正仿宋_GBK" w:eastAsia="方正仿宋_GBK" w:cs="方正仿宋_GBK"/>
          <w:sz w:val="32"/>
          <w:szCs w:val="32"/>
          <w:lang w:val="en-US" w:eastAsia="zh-CN"/>
        </w:rPr>
        <w:t>做好规范性文件前置审查、备案工作。制定和完善规范性文件起草、审查、决定、公布、备案等各项工作机制和工作程序，严格按照规范性文件制定出台的相关规定，做好每个环节的审查工作，重要的行政规范性文件依法依规执行评估论证、公开征求意见、合法性审核、集体审议决定、向社会公开发布等程序，保证文件合法有效，力争文件出台后不存在瑕疵。</w:t>
      </w:r>
      <w:r>
        <w:rPr>
          <w:rFonts w:hint="eastAsia" w:ascii="仿宋_GB2312" w:hAnsi="仿宋" w:eastAsia="仿宋_GB2312" w:cs="Times New Roman"/>
          <w:b/>
          <w:bCs/>
          <w:sz w:val="32"/>
          <w:szCs w:val="32"/>
          <w:lang w:val="en-US" w:eastAsia="zh-CN"/>
        </w:rPr>
        <w:t>二是</w:t>
      </w:r>
      <w:r>
        <w:rPr>
          <w:rFonts w:hint="eastAsia" w:ascii="方正仿宋_GBK" w:hAnsi="方正仿宋_GBK" w:eastAsia="方正仿宋_GBK" w:cs="方正仿宋_GBK"/>
          <w:sz w:val="32"/>
          <w:szCs w:val="32"/>
          <w:lang w:val="en-US" w:eastAsia="zh-CN"/>
        </w:rPr>
        <w:t>完善重大决策议事程序，在科技项目立项等重要环节中，通过专家论证，提高项目立项水平。坚持重要事项安排、干部任免、科技计划项目立项等重大事项决策经局班子会议集体审议研究后作出决定，严格按程序办事，有效防止以权谋私行为发生，保证重大行政决策的民主性、科学性和合法性。</w:t>
      </w:r>
      <w:r>
        <w:rPr>
          <w:rFonts w:hint="eastAsia" w:ascii="仿宋_GB2312" w:hAnsi="仿宋" w:eastAsia="仿宋_GB2312" w:cs="Times New Roman"/>
          <w:b/>
          <w:bCs/>
          <w:sz w:val="32"/>
          <w:szCs w:val="32"/>
          <w:lang w:val="en-US" w:eastAsia="zh-CN"/>
        </w:rPr>
        <w:t>三是</w:t>
      </w:r>
      <w:r>
        <w:rPr>
          <w:rFonts w:hint="eastAsia" w:ascii="方正仿宋_GBK" w:hAnsi="方正仿宋_GBK" w:eastAsia="方正仿宋_GBK" w:cs="方正仿宋_GBK"/>
          <w:sz w:val="32"/>
          <w:szCs w:val="32"/>
          <w:lang w:val="en-US" w:eastAsia="zh-CN"/>
        </w:rPr>
        <w:t>建立科技领域专家评审制度，在规范性文件制定、科技体制改革文件制定、科技计划项目申报立项、科技奖励评审等工作中，召开专家评审会提高专家论证质量，尊重并注重吸取专家专业意见。</w:t>
      </w:r>
      <w:r>
        <w:rPr>
          <w:rFonts w:hint="eastAsia" w:ascii="仿宋_GB2312" w:hAnsi="仿宋" w:eastAsia="仿宋_GB2312"/>
          <w:b/>
          <w:bCs/>
          <w:sz w:val="32"/>
          <w:szCs w:val="32"/>
          <w:lang w:val="en-US" w:eastAsia="zh-CN"/>
        </w:rPr>
        <w:t>四是</w:t>
      </w:r>
      <w:r>
        <w:rPr>
          <w:rFonts w:hint="eastAsia" w:ascii="方正仿宋_GBK" w:hAnsi="方正仿宋_GBK" w:eastAsia="方正仿宋_GBK" w:cs="方正仿宋_GBK"/>
          <w:sz w:val="32"/>
          <w:szCs w:val="32"/>
          <w:lang w:val="en-US" w:eastAsia="zh-CN"/>
        </w:rPr>
        <w:t>全面落实政府法律顾问制度，推动政府法律顾问在合同签订、文件出台、行政决策等方面多角度、全方位参与政府法律事务，提供及时、优质的法律服务，发挥良好作用。</w:t>
      </w:r>
    </w:p>
    <w:p w14:paraId="6DF62B99">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（三）依法全面履行政府职能</w:t>
      </w:r>
    </w:p>
    <w:p w14:paraId="1C41993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0"/>
          <w:szCs w:val="30"/>
          <w:lang w:val="en-US" w:eastAsia="zh-CN"/>
        </w:rPr>
        <w:t>完成了上半年重大行政决策、规范性文件、签订的合同、协议等法律文件的合法性审查工作、地方行行政规章的清理工作，以及开展涉及不平等对待企业法规政策清理工作。</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val="0"/>
          <w:bCs w:val="0"/>
          <w:sz w:val="32"/>
          <w:szCs w:val="32"/>
          <w:lang w:val="en-US" w:eastAsia="zh-CN"/>
        </w:rPr>
        <w:t>落实科学技术保密管理制度，实现项目管理全程无缝监管。落实技术保密相关规定，结合科技调研、项目评审、实地指导等时机，对各级科技管理人员、专业机构和评审专家等，进行科技保密教育。进一步明确科技保密要求，层层落实技术保密主体责任，加强对科技项目资料、信息管理，未发生技术失泄密问题。</w:t>
      </w:r>
    </w:p>
    <w:p w14:paraId="2D368E8D">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（四）积极推进政务公开工作</w:t>
      </w:r>
    </w:p>
    <w:p w14:paraId="2C578452">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24" w:firstLineChars="200"/>
        <w:jc w:val="both"/>
        <w:textAlignment w:val="auto"/>
        <w:outlineLvl w:val="9"/>
        <w:rPr>
          <w:rFonts w:hint="eastAsia" w:ascii="仿宋_GB2312" w:hAnsi="仿宋" w:eastAsia="仿宋_GB2312"/>
          <w:sz w:val="32"/>
          <w:szCs w:val="32"/>
          <w:lang w:val="en-US" w:eastAsia="zh-CN"/>
        </w:rPr>
      </w:pPr>
      <w:r>
        <w:rPr>
          <w:rFonts w:hint="eastAsia" w:ascii="方正仿宋_GBK" w:hAnsi="方正仿宋_GBK" w:eastAsia="方正仿宋_GBK" w:cs="方正仿宋_GBK"/>
          <w:spacing w:val="-4"/>
          <w:sz w:val="32"/>
          <w:szCs w:val="32"/>
          <w:lang w:val="en-US" w:eastAsia="zh-CN"/>
        </w:rPr>
        <w:t>加强政府信息公开化平台建设，提高行政职能、行政运行的透明度，保障社会公众的知情权和监督权，提升了依法行政工作实效。</w:t>
      </w:r>
      <w:r>
        <w:rPr>
          <w:rFonts w:hint="eastAsia" w:ascii="仿宋_GB2312" w:hAnsi="仿宋" w:eastAsia="仿宋_GB2312" w:cs="仿宋"/>
          <w:b/>
          <w:bCs/>
          <w:spacing w:val="-4"/>
          <w:sz w:val="32"/>
          <w:szCs w:val="32"/>
          <w:lang w:val="en-US" w:eastAsia="zh-CN"/>
        </w:rPr>
        <w:t>一是</w:t>
      </w:r>
      <w:r>
        <w:rPr>
          <w:rFonts w:hint="eastAsia" w:ascii="方正仿宋_GBK" w:hAnsi="方正仿宋_GBK" w:eastAsia="方正仿宋_GBK" w:cs="方正仿宋_GBK"/>
          <w:spacing w:val="-4"/>
          <w:sz w:val="32"/>
          <w:szCs w:val="32"/>
          <w:lang w:val="en-US" w:eastAsia="zh-CN"/>
        </w:rPr>
        <w:t>严格履行“三重一大”党组集体决策制度，严格按程序办事，有效防止以权谋私行为发生，保证了重大决策的科学性和合法性。</w:t>
      </w:r>
      <w:r>
        <w:rPr>
          <w:rFonts w:hint="eastAsia" w:ascii="仿宋_GB2312" w:hAnsi="仿宋" w:eastAsia="仿宋_GB2312" w:cs="仿宋"/>
          <w:b/>
          <w:bCs/>
          <w:spacing w:val="-4"/>
          <w:sz w:val="32"/>
          <w:szCs w:val="32"/>
          <w:lang w:val="en-US" w:eastAsia="zh-CN"/>
        </w:rPr>
        <w:t>二是</w:t>
      </w:r>
      <w:r>
        <w:rPr>
          <w:rFonts w:hint="eastAsia" w:ascii="方正仿宋_GBK" w:hAnsi="方正仿宋_GBK" w:eastAsia="方正仿宋_GBK" w:cs="方正仿宋_GBK"/>
          <w:spacing w:val="-4"/>
          <w:sz w:val="32"/>
          <w:szCs w:val="32"/>
          <w:lang w:val="en-US" w:eastAsia="zh-CN"/>
        </w:rPr>
        <w:t>严格落实“谁执法谁普法”“谁主管谁普法”“谁服务谁普法”普法责任制，将普法贯穿融入各项工作全过程，</w:t>
      </w:r>
      <w:r>
        <w:rPr>
          <w:rFonts w:hint="eastAsia" w:ascii="方正仿宋_GBK" w:hAnsi="方正仿宋_GBK" w:eastAsia="方正仿宋_GBK" w:cs="方正仿宋_GBK"/>
          <w:sz w:val="32"/>
          <w:szCs w:val="32"/>
          <w:lang w:val="en-US" w:eastAsia="zh-CN"/>
        </w:rPr>
        <w:t>及时将工作动态及成果成效向社会大众公布，努力营造良好的法治环境，助力法治政府建设。</w:t>
      </w:r>
      <w:r>
        <w:rPr>
          <w:rFonts w:hint="eastAsia" w:ascii="仿宋_GB2312" w:hAnsi="仿宋" w:eastAsia="仿宋_GB2312"/>
          <w:sz w:val="32"/>
          <w:szCs w:val="32"/>
          <w:lang w:val="en-US" w:eastAsia="zh-CN"/>
        </w:rPr>
        <w:t xml:space="preserve"> </w:t>
      </w:r>
    </w:p>
    <w:p w14:paraId="04F2972E">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（五）围绕中心工作开展法治宣传教育</w:t>
      </w:r>
    </w:p>
    <w:p w14:paraId="7657CC16">
      <w:pPr>
        <w:keepNext w:val="0"/>
        <w:keepLines w:val="0"/>
        <w:pageBreakBefore w:val="0"/>
        <w:widowControl/>
        <w:suppressLineNumbers w:val="0"/>
        <w:kinsoku/>
        <w:wordWrap/>
        <w:overflowPunct/>
        <w:topLinePunct w:val="0"/>
        <w:autoSpaceDE/>
        <w:autoSpaceDN/>
        <w:bidi w:val="0"/>
        <w:spacing w:line="570" w:lineRule="exact"/>
        <w:ind w:firstLine="640" w:firstLineChars="200"/>
        <w:jc w:val="both"/>
        <w:textAlignment w:val="auto"/>
        <w:rPr>
          <w:rFonts w:ascii="仿宋_GB2312" w:hAnsi="宋体" w:eastAsia="仿宋_GB2312" w:cs="仿宋_GB2312"/>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加强政策法律的宣传，编制并印制了《唐山科技政策汇编（2024版）》600册、印制普法宣传挂历1500册；利用“科技活动周”、文化科技卫生“三下乡”活动、科技调研、项目评审、入企服务等时机，向群众和企业发放创新政策宣传材料，广泛宣传科技创新法律法规，为企业纾困解难。</w:t>
      </w:r>
      <w:r>
        <w:rPr>
          <w:rFonts w:hint="eastAsia" w:ascii="方正仿宋_GBK" w:hAnsi="方正仿宋_GBK" w:eastAsia="方正仿宋_GBK" w:cs="方正仿宋_GBK"/>
          <w:sz w:val="32"/>
          <w:szCs w:val="32"/>
          <w:lang w:val="en-US" w:eastAsia="zh-CN"/>
        </w:rPr>
        <w:t>加大媒体宣传力度，利用官网和微信公众号等媒体资源开展依法行政、科技成果转化等法律法规知识宣传。积极开展法治教育，增强机关工作人员法治思维和法治意识，引导全体干部职工尊崇法治、敬畏法律，牢固树立宪法法律至上、法律面前人人平等、权由法定、权依法使等基本法治观念，不断提高运用法治思维和法治方式深化改革、推动发展、化解矛盾、维护稳定、应对风险的能力。</w:t>
      </w:r>
    </w:p>
    <w:p w14:paraId="1F6A4A8A">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（六）积极推进唐山市科技进步若干规定立法</w:t>
      </w:r>
    </w:p>
    <w:p w14:paraId="59BEA857">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hAnsi="仿宋" w:eastAsia="仿宋_GB2312"/>
          <w:sz w:val="32"/>
          <w:szCs w:val="32"/>
          <w:lang w:val="en-US" w:eastAsia="zh-CN"/>
        </w:rPr>
      </w:pPr>
      <w:r>
        <w:rPr>
          <w:rFonts w:hint="eastAsia" w:ascii="方正仿宋_GBK" w:hAnsi="方正仿宋_GBK" w:eastAsia="方正仿宋_GBK" w:cs="方正仿宋_GBK"/>
          <w:sz w:val="32"/>
          <w:szCs w:val="32"/>
          <w:lang w:val="en-US" w:eastAsia="zh-CN"/>
        </w:rPr>
        <w:t>2024年1月3日市人大常委会将《唐山市科学技术进步条例》列入《唐山市人大常委会2024年立法计划（预备项目）》。立项后，责成有关人员在前期调研的基础上起草了《唐山市科学技术进步条例》（征求意见稿），并召开了座谈会，征求相关处室意见并多次修改。2024年3月31日向人大报送了“</w:t>
      </w:r>
      <w:r>
        <w:rPr>
          <w:rFonts w:hint="eastAsia" w:ascii="方正仿宋_GBK" w:hAnsi="方正仿宋_GBK" w:eastAsia="方正仿宋_GBK" w:cs="方正仿宋_GBK"/>
          <w:sz w:val="32"/>
          <w:szCs w:val="32"/>
          <w:lang w:val="en-US" w:eastAsia="zh-Hans"/>
        </w:rPr>
        <w:t>《唐山市科学技术进步</w:t>
      </w:r>
      <w:r>
        <w:rPr>
          <w:rFonts w:hint="eastAsia" w:ascii="方正仿宋_GBK" w:hAnsi="方正仿宋_GBK" w:eastAsia="方正仿宋_GBK" w:cs="方正仿宋_GBK"/>
          <w:sz w:val="32"/>
          <w:szCs w:val="32"/>
          <w:lang w:val="en-US" w:eastAsia="zh-CN"/>
        </w:rPr>
        <w:t>条例</w:t>
      </w:r>
      <w:r>
        <w:rPr>
          <w:rFonts w:hint="eastAsia" w:ascii="方正仿宋_GBK" w:hAnsi="方正仿宋_GBK" w:eastAsia="方正仿宋_GBK" w:cs="方正仿宋_GBK"/>
          <w:sz w:val="32"/>
          <w:szCs w:val="32"/>
          <w:lang w:val="en-US" w:eastAsia="zh-Hans"/>
        </w:rPr>
        <w:t>》工作方案</w:t>
      </w:r>
      <w:r>
        <w:rPr>
          <w:rFonts w:hint="eastAsia" w:ascii="方正仿宋_GBK" w:hAnsi="方正仿宋_GBK" w:eastAsia="方正仿宋_GBK" w:cs="方正仿宋_GBK"/>
          <w:sz w:val="32"/>
          <w:szCs w:val="32"/>
          <w:lang w:val="en-US" w:eastAsia="zh-CN"/>
        </w:rPr>
        <w:t>”。2024年</w:t>
      </w:r>
      <w:r>
        <w:rPr>
          <w:rFonts w:hint="eastAsia" w:ascii="方正仿宋_GBK" w:hAnsi="方正仿宋_GBK" w:eastAsia="方正仿宋_GBK" w:cs="方正仿宋_GBK"/>
          <w:sz w:val="32"/>
          <w:szCs w:val="32"/>
          <w:lang w:val="en" w:eastAsia="zh-CN"/>
        </w:rPr>
        <w:t>7月29日，立法工作专班工作人员赴市司法局，与司法局领导进行沟通汇报，汇报了立法的现有进展和成果，探讨了立法项目的重点难点、立法团队下一步环节有关事项和程序，安排了立法团队人员下一步分工和注意事项。</w:t>
      </w:r>
    </w:p>
    <w:p w14:paraId="0CB9317E">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二、2025年法治政府工作谋划</w:t>
      </w:r>
    </w:p>
    <w:p w14:paraId="67FD9D6D">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left="0" w:leftChars="0" w:right="0" w:rightChars="0" w:firstLine="643"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楷体" w:hAnsi="楷体" w:eastAsia="楷体" w:cs="楷体"/>
          <w:b/>
          <w:bCs/>
          <w:sz w:val="32"/>
          <w:szCs w:val="32"/>
          <w:lang w:val="en-US" w:eastAsia="zh-CN"/>
        </w:rPr>
        <w:t>（一）加强领导干部法治宣传教育。</w:t>
      </w:r>
      <w:r>
        <w:rPr>
          <w:rFonts w:hint="eastAsia" w:ascii="方正仿宋_GBK" w:hAnsi="方正仿宋_GBK" w:eastAsia="方正仿宋_GBK" w:cs="方正仿宋_GBK"/>
          <w:sz w:val="32"/>
          <w:szCs w:val="32"/>
          <w:lang w:val="en-US" w:eastAsia="zh-CN"/>
        </w:rPr>
        <w:t xml:space="preserve">严格落实党政主要负责人履行推进法治建设第一责任人职责，统筹推进科技法治政府建设。进一步加强法治宣传教育，弘扬法治精神，深入学习宣传以宪法为统领的中国特色社会主义法律体系，深入学习科技法律法规，不断提高法律素质和法治观念，增强依法行政的自觉性。 </w:t>
      </w:r>
    </w:p>
    <w:p w14:paraId="6064D740">
      <w:pPr>
        <w:keepNext w:val="0"/>
        <w:keepLines w:val="0"/>
        <w:pageBreakBefore w:val="0"/>
        <w:widowControl w:val="0"/>
        <w:kinsoku/>
        <w:wordWrap/>
        <w:overflowPunct/>
        <w:topLinePunct w:val="0"/>
        <w:autoSpaceDE/>
        <w:autoSpaceDN/>
        <w:bidi w:val="0"/>
        <w:adjustRightInd w:val="0"/>
        <w:snapToGrid w:val="0"/>
        <w:spacing w:before="0" w:beforeLines="0" w:after="0" w:afterLines="0" w:line="570" w:lineRule="exact"/>
        <w:ind w:right="0" w:rightChars="0" w:firstLine="643"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楷体" w:hAnsi="楷体" w:eastAsia="楷体" w:cs="楷体"/>
          <w:b/>
          <w:bCs/>
          <w:sz w:val="32"/>
          <w:szCs w:val="32"/>
          <w:lang w:val="en-US" w:eastAsia="zh-CN"/>
        </w:rPr>
        <w:t>（二）加强建立健全各项制度。</w:t>
      </w:r>
      <w:r>
        <w:rPr>
          <w:rFonts w:hint="eastAsia" w:ascii="方正仿宋_GBK" w:hAnsi="方正仿宋_GBK" w:eastAsia="方正仿宋_GBK" w:cs="方正仿宋_GBK"/>
          <w:sz w:val="32"/>
          <w:szCs w:val="32"/>
          <w:lang w:val="en-US" w:eastAsia="zh-CN"/>
        </w:rPr>
        <w:t>严格落实重大行政决策程序规定，把公众参与、专家论证、合法性审查、集体讨论决定确定为重大决策的法定程序，确保决策制度科学、程序正当、过程公开、责任明确。制定涉及公共利益、社会影响较大的政府规范性文件时，坚持通过公开征求意见等方式广泛听取社会各界意见。加强与法律顾问的沟通和联系，充分发挥政府参谋助手和顾问智库作用，进一步发挥法律顾问在制定重大行政决策、推进依法行政中的积极作用。</w:t>
      </w:r>
    </w:p>
    <w:p w14:paraId="79199F7D">
      <w:pPr>
        <w:keepNext w:val="0"/>
        <w:keepLines w:val="0"/>
        <w:pageBreakBefore w:val="0"/>
        <w:widowControl/>
        <w:suppressLineNumbers w:val="0"/>
        <w:kinsoku/>
        <w:overflowPunct/>
        <w:topLinePunct w:val="0"/>
        <w:autoSpaceDE/>
        <w:autoSpaceDN/>
        <w:bidi w:val="0"/>
        <w:spacing w:line="570" w:lineRule="exact"/>
        <w:ind w:firstLine="640" w:firstLineChars="200"/>
        <w:jc w:val="both"/>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p>
    <w:p w14:paraId="6A61BBEE">
      <w:pPr>
        <w:keepNext w:val="0"/>
        <w:keepLines w:val="0"/>
        <w:pageBreakBefore w:val="0"/>
        <w:kinsoku/>
        <w:overflowPunct/>
        <w:topLinePunct w:val="0"/>
        <w:autoSpaceDE/>
        <w:autoSpaceDN/>
        <w:bidi w:val="0"/>
        <w:spacing w:line="570" w:lineRule="exact"/>
        <w:ind w:firstLine="800" w:firstLineChars="250"/>
        <w:textAlignment w:val="auto"/>
        <w:rPr>
          <w:rFonts w:hint="eastAsia" w:ascii="仿宋_GB2312" w:hAnsi="仿宋" w:eastAsia="仿宋_GB2312"/>
          <w:sz w:val="32"/>
          <w:szCs w:val="32"/>
          <w:lang w:eastAsia="zh-CN"/>
        </w:rPr>
      </w:pPr>
    </w:p>
    <w:p w14:paraId="36C8F8BF">
      <w:pPr>
        <w:pStyle w:val="2"/>
        <w:keepNext w:val="0"/>
        <w:keepLines w:val="0"/>
        <w:pageBreakBefore w:val="0"/>
        <w:kinsoku/>
        <w:overflowPunct/>
        <w:topLinePunct w:val="0"/>
        <w:autoSpaceDE/>
        <w:autoSpaceDN/>
        <w:bidi w:val="0"/>
        <w:spacing w:line="570" w:lineRule="exact"/>
        <w:textAlignment w:val="auto"/>
        <w:rPr>
          <w:rFonts w:hint="eastAsia" w:ascii="仿宋_GB2312" w:hAnsi="仿宋" w:eastAsia="仿宋_GB2312"/>
          <w:sz w:val="32"/>
          <w:szCs w:val="32"/>
          <w:lang w:eastAsia="zh-CN"/>
        </w:rPr>
      </w:pPr>
    </w:p>
    <w:p w14:paraId="2D8EB6EC">
      <w:pPr>
        <w:keepNext w:val="0"/>
        <w:keepLines w:val="0"/>
        <w:pageBreakBefore w:val="0"/>
        <w:widowControl w:val="0"/>
        <w:kinsoku/>
        <w:wordWrap w:val="0"/>
        <w:overflowPunct/>
        <w:topLinePunct w:val="0"/>
        <w:autoSpaceDE/>
        <w:autoSpaceDN/>
        <w:bidi w:val="0"/>
        <w:adjustRightInd w:val="0"/>
        <w:snapToGrid w:val="0"/>
        <w:spacing w:before="0" w:beforeLines="0" w:after="0" w:afterLines="0" w:line="570" w:lineRule="exact"/>
        <w:ind w:left="0" w:leftChars="0" w:right="0" w:rightChars="0" w:firstLine="640" w:firstLineChars="200"/>
        <w:jc w:val="righ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唐山市科学技术局  </w:t>
      </w:r>
    </w:p>
    <w:p w14:paraId="4C5CDF46">
      <w:pPr>
        <w:pStyle w:val="2"/>
        <w:keepNext w:val="0"/>
        <w:keepLines w:val="0"/>
        <w:pageBreakBefore w:val="0"/>
        <w:kinsoku/>
        <w:wordWrap/>
        <w:overflowPunct/>
        <w:topLinePunct w:val="0"/>
        <w:autoSpaceDE/>
        <w:autoSpaceDN/>
        <w:bidi w:val="0"/>
        <w:spacing w:line="570" w:lineRule="exact"/>
        <w:textAlignment w:val="auto"/>
        <w:rPr>
          <w:rFonts w:hint="default"/>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2024年12月31日</w:t>
      </w:r>
    </w:p>
    <w:p w14:paraId="18E5DCCD">
      <w:pPr>
        <w:pStyle w:val="3"/>
        <w:keepNext w:val="0"/>
        <w:keepLines w:val="0"/>
        <w:pageBreakBefore w:val="0"/>
        <w:widowControl/>
        <w:kinsoku/>
        <w:wordWrap/>
        <w:overflowPunct/>
        <w:topLinePunct w:val="0"/>
        <w:autoSpaceDE/>
        <w:autoSpaceDN/>
        <w:bidi w:val="0"/>
        <w:adjustRightInd/>
        <w:snapToGrid/>
        <w:spacing w:line="570" w:lineRule="exact"/>
        <w:textAlignment w:val="auto"/>
        <w:rPr>
          <w:rFonts w:hint="eastAsia"/>
          <w:lang w:eastAsia="zh-CN"/>
        </w:rPr>
      </w:pPr>
      <w:r>
        <w:rPr>
          <w:rFonts w:hint="eastAsia" w:ascii="仿宋_GB2312" w:hAnsi="仿宋" w:eastAsia="仿宋_GB2312"/>
          <w:sz w:val="32"/>
          <w:szCs w:val="32"/>
          <w:lang w:val="en-US" w:eastAsia="zh-CN"/>
        </w:rPr>
        <w:t xml:space="preserve">                                  </w:t>
      </w:r>
    </w:p>
    <w:sectPr>
      <w:footerReference r:id="rId3"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D1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7CB7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77CB7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B53FF"/>
    <w:rsid w:val="32FF2967"/>
    <w:rsid w:val="37CB5E8F"/>
    <w:rsid w:val="5DEDFE9B"/>
    <w:rsid w:val="5FDF6951"/>
    <w:rsid w:val="7EFE1D44"/>
    <w:rsid w:val="9B4B6E09"/>
    <w:rsid w:val="B3FFC20A"/>
    <w:rsid w:val="BF5E9C3F"/>
    <w:rsid w:val="DEA101E7"/>
    <w:rsid w:val="DF7B53FF"/>
    <w:rsid w:val="E7FB8B9F"/>
    <w:rsid w:val="EA7F419C"/>
    <w:rsid w:val="F5F51C42"/>
    <w:rsid w:val="FC1DC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pPr>
      <w:widowControl/>
      <w:spacing w:before="100" w:beforeAutospacing="1" w:after="100" w:afterAutospacing="1"/>
      <w:jc w:val="left"/>
    </w:pPr>
    <w:rPr>
      <w:color w:val="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373</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2024-12-29T08:47:00Z</dcterms:created>
  <dc:creator>user</dc:creator>
  <cp:lastModifiedBy>user</cp:lastModifiedBy>
  <cp:lastPrinted>2024-12-31T22:33:00Z</cp:lastPrinted>
  <dcterms:modified xsi:type="dcterms:W3CDTF">2025-01-02T10:08:13Z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5892A90CCF9CFFEC0DF575675EA24071_43</vt:lpwstr>
  </property>
</Properties>
</file>